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680B6"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bookmarkStart w:id="0" w:name="_GoBack"/>
      <w:bookmarkEnd w:id="0"/>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A13F9A" w:rsidP="00EC3E7D">
            <w:pPr>
              <w:pStyle w:val="GvdeMetni"/>
              <w:spacing w:after="120" w:line="240" w:lineRule="auto"/>
              <w:jc w:val="center"/>
              <w:rPr>
                <w:color w:val="FF0000"/>
                <w:sz w:val="22"/>
                <w:szCs w:val="22"/>
              </w:rPr>
            </w:pPr>
            <w:r>
              <w:rPr>
                <w:color w:val="FF0000"/>
                <w:sz w:val="22"/>
                <w:szCs w:val="22"/>
              </w:rPr>
              <w:t>32</w:t>
            </w:r>
            <w:r w:rsidR="00381E3B">
              <w:rPr>
                <w:color w:val="FF0000"/>
                <w:sz w:val="22"/>
                <w:szCs w:val="22"/>
              </w:rPr>
              <w:t xml:space="preserve"> KALEM T</w:t>
            </w:r>
            <w:r w:rsidR="00C143F6">
              <w:rPr>
                <w:color w:val="FF0000"/>
                <w:sz w:val="22"/>
                <w:szCs w:val="22"/>
              </w:rPr>
              <w:t>EKERLEKLİ</w:t>
            </w:r>
            <w:r w:rsidR="00381E3B">
              <w:rPr>
                <w:color w:val="FF0000"/>
                <w:sz w:val="22"/>
                <w:szCs w:val="22"/>
              </w:rPr>
              <w:t xml:space="preserve"> ARAÇ</w:t>
            </w:r>
            <w:r w:rsidR="00DC5404">
              <w:rPr>
                <w:color w:val="FF0000"/>
                <w:sz w:val="22"/>
                <w:szCs w:val="22"/>
              </w:rPr>
              <w:t xml:space="preserve"> </w:t>
            </w:r>
            <w:r w:rsidR="00C143F6">
              <w:rPr>
                <w:color w:val="FF0000"/>
                <w:sz w:val="22"/>
                <w:szCs w:val="22"/>
              </w:rPr>
              <w:t>(</w:t>
            </w:r>
            <w:r w:rsidRPr="00A13F9A">
              <w:rPr>
                <w:color w:val="FF0000"/>
                <w:sz w:val="22"/>
                <w:szCs w:val="22"/>
              </w:rPr>
              <w:t>BMC KAMYON, KURTARICI, MAGİRUS TANKER VE VOLAT TANKER</w:t>
            </w:r>
            <w:r w:rsidR="00C143F6">
              <w:rPr>
                <w:color w:val="FF0000"/>
                <w:sz w:val="22"/>
                <w:szCs w:val="22"/>
              </w:rPr>
              <w:t>)</w:t>
            </w:r>
            <w:r w:rsidR="00381E3B">
              <w:rPr>
                <w:color w:val="FF0000"/>
                <w:sz w:val="22"/>
                <w:szCs w:val="22"/>
              </w:rPr>
              <w:t xml:space="preserve">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sidR="00332096">
              <w:rPr>
                <w:rFonts w:ascii="Arial" w:hAnsi="Arial" w:cs="Arial"/>
                <w:b w:val="0"/>
                <w:i w:val="0"/>
                <w:color w:val="auto"/>
                <w:sz w:val="22"/>
                <w:szCs w:val="22"/>
              </w:rPr>
              <w:t>…../……/2020</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332096"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2020</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A13F9A">
        <w:rPr>
          <w:rStyle w:val="richtext"/>
          <w:bCs/>
          <w:color w:val="auto"/>
        </w:rPr>
        <w:t>1</w:t>
      </w:r>
      <w:r w:rsidRPr="00667EAC">
        <w:rPr>
          <w:rStyle w:val="richtext"/>
          <w:bCs/>
          <w:color w:val="auto"/>
        </w:rPr>
        <w:t xml:space="preserve"> / ………..</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 xml:space="preserve">(bundan sonra İdare olarak anılacaktır) ile diğer tarafta..............................................................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A13F9A">
        <w:rPr>
          <w:rFonts w:ascii="Times New Roman" w:hAnsi="Times New Roman" w:cs="Times New Roman"/>
          <w:color w:val="FF0000"/>
          <w:sz w:val="24"/>
          <w:szCs w:val="24"/>
        </w:rPr>
        <w:t>32</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KALEM TEKERLEKLİ ARAÇ</w:t>
      </w:r>
      <w:r w:rsidR="00332096">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w:t>
      </w:r>
      <w:r w:rsidR="00A13F9A" w:rsidRPr="00A13F9A">
        <w:rPr>
          <w:rFonts w:ascii="Times New Roman" w:hAnsi="Times New Roman" w:cs="Times New Roman"/>
          <w:color w:val="FF0000"/>
          <w:sz w:val="24"/>
          <w:szCs w:val="24"/>
        </w:rPr>
        <w:t>BMC KAMYON, KURTARICI, MAGİRUS TANKER VE VOLAT TANKER</w:t>
      </w:r>
      <w:r w:rsidR="00C143F6" w:rsidRPr="00C143F6">
        <w:rPr>
          <w:rFonts w:ascii="Times New Roman" w:hAnsi="Times New Roman" w:cs="Times New Roman"/>
          <w:color w:val="FF0000"/>
          <w:sz w:val="24"/>
          <w:szCs w:val="24"/>
        </w:rPr>
        <w:t>)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576"/>
        <w:gridCol w:w="1910"/>
        <w:gridCol w:w="5844"/>
        <w:gridCol w:w="702"/>
        <w:gridCol w:w="716"/>
      </w:tblGrid>
      <w:tr w:rsidR="00A13F9A" w:rsidRPr="00A13F9A" w:rsidTr="00A13F9A">
        <w:trPr>
          <w:trHeight w:val="567"/>
        </w:trPr>
        <w:tc>
          <w:tcPr>
            <w:tcW w:w="576" w:type="dxa"/>
            <w:vAlign w:val="center"/>
            <w:hideMark/>
          </w:tcPr>
          <w:p w:rsidR="00A13F9A" w:rsidRPr="00A13F9A" w:rsidRDefault="00A13F9A" w:rsidP="00A13F9A">
            <w:pPr>
              <w:pStyle w:val="BodyText31"/>
              <w:jc w:val="center"/>
              <w:rPr>
                <w:bCs/>
                <w:color w:val="auto"/>
                <w:u w:val="single"/>
              </w:rPr>
            </w:pPr>
            <w:r w:rsidRPr="00A13F9A">
              <w:rPr>
                <w:bCs/>
                <w:color w:val="auto"/>
                <w:u w:val="single"/>
              </w:rPr>
              <w:t>S. NO</w:t>
            </w:r>
          </w:p>
        </w:tc>
        <w:tc>
          <w:tcPr>
            <w:tcW w:w="1910" w:type="dxa"/>
            <w:noWrap/>
            <w:vAlign w:val="center"/>
            <w:hideMark/>
          </w:tcPr>
          <w:p w:rsidR="00A13F9A" w:rsidRPr="00A13F9A" w:rsidRDefault="00A13F9A" w:rsidP="00A13F9A">
            <w:pPr>
              <w:pStyle w:val="BodyText31"/>
              <w:jc w:val="center"/>
              <w:rPr>
                <w:bCs/>
                <w:color w:val="auto"/>
                <w:u w:val="single"/>
              </w:rPr>
            </w:pPr>
            <w:r w:rsidRPr="00A13F9A">
              <w:rPr>
                <w:bCs/>
                <w:color w:val="auto"/>
                <w:u w:val="single"/>
              </w:rPr>
              <w:t>STOK NO</w:t>
            </w:r>
          </w:p>
        </w:tc>
        <w:tc>
          <w:tcPr>
            <w:tcW w:w="5844" w:type="dxa"/>
            <w:noWrap/>
            <w:vAlign w:val="center"/>
            <w:hideMark/>
          </w:tcPr>
          <w:p w:rsidR="00A13F9A" w:rsidRPr="00A13F9A" w:rsidRDefault="00A13F9A" w:rsidP="00A13F9A">
            <w:pPr>
              <w:pStyle w:val="BodyText31"/>
              <w:jc w:val="center"/>
              <w:rPr>
                <w:bCs/>
                <w:color w:val="auto"/>
                <w:u w:val="single"/>
              </w:rPr>
            </w:pPr>
            <w:r w:rsidRPr="00A13F9A">
              <w:rPr>
                <w:bCs/>
                <w:color w:val="auto"/>
                <w:u w:val="single"/>
              </w:rPr>
              <w:t>MALZEMENİN CİNSİ</w:t>
            </w:r>
          </w:p>
        </w:tc>
        <w:tc>
          <w:tcPr>
            <w:tcW w:w="1418" w:type="dxa"/>
            <w:gridSpan w:val="2"/>
            <w:noWrap/>
            <w:vAlign w:val="center"/>
            <w:hideMark/>
          </w:tcPr>
          <w:p w:rsidR="00A13F9A" w:rsidRPr="00A13F9A" w:rsidRDefault="00A13F9A" w:rsidP="00A13F9A">
            <w:pPr>
              <w:pStyle w:val="BodyText31"/>
              <w:jc w:val="center"/>
              <w:rPr>
                <w:bCs/>
                <w:color w:val="auto"/>
                <w:u w:val="single"/>
              </w:rPr>
            </w:pPr>
            <w:r w:rsidRPr="00A13F9A">
              <w:rPr>
                <w:bCs/>
                <w:color w:val="auto"/>
                <w:u w:val="single"/>
              </w:rPr>
              <w:t>MİKTARI</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4720KK0061045</w:t>
            </w:r>
          </w:p>
        </w:tc>
        <w:tc>
          <w:tcPr>
            <w:tcW w:w="5844" w:type="dxa"/>
            <w:vAlign w:val="center"/>
            <w:hideMark/>
          </w:tcPr>
          <w:p w:rsidR="00A13F9A" w:rsidRPr="00A13F9A" w:rsidRDefault="00A13F9A" w:rsidP="00A13F9A">
            <w:pPr>
              <w:pStyle w:val="BodyText31"/>
              <w:jc w:val="left"/>
              <w:rPr>
                <w:color w:val="auto"/>
              </w:rPr>
            </w:pPr>
            <w:r w:rsidRPr="00A13F9A">
              <w:rPr>
                <w:color w:val="auto"/>
              </w:rPr>
              <w:t>‌HORTUM AKARYAKIR (MAGIRUS TANKER 6000LT.)</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2000</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CM</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2590270480538</w:t>
            </w:r>
          </w:p>
        </w:tc>
        <w:tc>
          <w:tcPr>
            <w:tcW w:w="5844" w:type="dxa"/>
            <w:vAlign w:val="center"/>
            <w:hideMark/>
          </w:tcPr>
          <w:p w:rsidR="00A13F9A" w:rsidRPr="00A13F9A" w:rsidRDefault="00A13F9A" w:rsidP="00A13F9A">
            <w:pPr>
              <w:pStyle w:val="BodyText31"/>
              <w:jc w:val="left"/>
              <w:rPr>
                <w:color w:val="auto"/>
              </w:rPr>
            </w:pPr>
            <w:r w:rsidRPr="00A13F9A">
              <w:rPr>
                <w:color w:val="auto"/>
              </w:rPr>
              <w:t>‌TARASSUT KAPAĞI, KAYNAKLI KMPL.</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3</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2540KK0380328</w:t>
            </w:r>
          </w:p>
        </w:tc>
        <w:tc>
          <w:tcPr>
            <w:tcW w:w="5844" w:type="dxa"/>
            <w:vAlign w:val="center"/>
            <w:hideMark/>
          </w:tcPr>
          <w:p w:rsidR="00A13F9A" w:rsidRPr="00A13F9A" w:rsidRDefault="00A13F9A" w:rsidP="00A13F9A">
            <w:pPr>
              <w:pStyle w:val="BodyText31"/>
              <w:jc w:val="left"/>
              <w:rPr>
                <w:color w:val="auto"/>
              </w:rPr>
            </w:pPr>
            <w:r w:rsidRPr="00A13F9A">
              <w:rPr>
                <w:color w:val="auto"/>
              </w:rPr>
              <w:t>‌MERDİVEN, ARKA KAPAK</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3</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4</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6220KK0510141</w:t>
            </w:r>
          </w:p>
        </w:tc>
        <w:tc>
          <w:tcPr>
            <w:tcW w:w="5844" w:type="dxa"/>
            <w:vAlign w:val="center"/>
            <w:hideMark/>
          </w:tcPr>
          <w:p w:rsidR="00A13F9A" w:rsidRPr="00A13F9A" w:rsidRDefault="00A13F9A" w:rsidP="00A13F9A">
            <w:pPr>
              <w:pStyle w:val="BodyText31"/>
              <w:jc w:val="left"/>
              <w:rPr>
                <w:color w:val="auto"/>
              </w:rPr>
            </w:pPr>
            <w:r w:rsidRPr="00A13F9A">
              <w:rPr>
                <w:color w:val="auto"/>
              </w:rPr>
              <w:t>‌ARKA STOP LAMBASI, LEDLİ VE SOKETLİ LAMBA.</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5</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2520270531419</w:t>
            </w:r>
          </w:p>
        </w:tc>
        <w:tc>
          <w:tcPr>
            <w:tcW w:w="5844" w:type="dxa"/>
            <w:vAlign w:val="center"/>
            <w:hideMark/>
          </w:tcPr>
          <w:p w:rsidR="00A13F9A" w:rsidRPr="00A13F9A" w:rsidRDefault="00A13F9A" w:rsidP="00A13F9A">
            <w:pPr>
              <w:pStyle w:val="BodyText31"/>
              <w:jc w:val="left"/>
              <w:rPr>
                <w:color w:val="auto"/>
              </w:rPr>
            </w:pPr>
            <w:r w:rsidRPr="00A13F9A">
              <w:rPr>
                <w:color w:val="auto"/>
              </w:rPr>
              <w:t>‌İMDATLI FREN KÖRÜĞÜ-ARKA DİNGİL</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4</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6</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2530270061353</w:t>
            </w:r>
          </w:p>
        </w:tc>
        <w:tc>
          <w:tcPr>
            <w:tcW w:w="5844" w:type="dxa"/>
            <w:vAlign w:val="center"/>
            <w:hideMark/>
          </w:tcPr>
          <w:p w:rsidR="00A13F9A" w:rsidRPr="00A13F9A" w:rsidRDefault="00A13F9A" w:rsidP="00A13F9A">
            <w:pPr>
              <w:pStyle w:val="BodyText31"/>
              <w:jc w:val="left"/>
              <w:rPr>
                <w:color w:val="auto"/>
              </w:rPr>
            </w:pPr>
            <w:r w:rsidRPr="00A13F9A">
              <w:rPr>
                <w:color w:val="auto"/>
              </w:rPr>
              <w:t>‌MERKEZ SİLİNDİRİ TAMİR TAKIMI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7</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2540270058899</w:t>
            </w:r>
          </w:p>
        </w:tc>
        <w:tc>
          <w:tcPr>
            <w:tcW w:w="5844" w:type="dxa"/>
            <w:vAlign w:val="center"/>
            <w:hideMark/>
          </w:tcPr>
          <w:p w:rsidR="00A13F9A" w:rsidRPr="00A13F9A" w:rsidRDefault="00A13F9A" w:rsidP="00A13F9A">
            <w:pPr>
              <w:pStyle w:val="BodyText31"/>
              <w:jc w:val="left"/>
              <w:rPr>
                <w:color w:val="auto"/>
              </w:rPr>
            </w:pPr>
            <w:r w:rsidRPr="00A13F9A">
              <w:rPr>
                <w:color w:val="auto"/>
              </w:rPr>
              <w:t>LASTİK, PEDAL</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8</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2530270518598</w:t>
            </w:r>
          </w:p>
        </w:tc>
        <w:tc>
          <w:tcPr>
            <w:tcW w:w="5844" w:type="dxa"/>
            <w:vAlign w:val="center"/>
            <w:hideMark/>
          </w:tcPr>
          <w:p w:rsidR="00A13F9A" w:rsidRPr="00A13F9A" w:rsidRDefault="00A13F9A" w:rsidP="00A13F9A">
            <w:pPr>
              <w:pStyle w:val="BodyText31"/>
              <w:jc w:val="left"/>
              <w:rPr>
                <w:color w:val="auto"/>
              </w:rPr>
            </w:pPr>
            <w:r w:rsidRPr="00A13F9A">
              <w:rPr>
                <w:color w:val="auto"/>
              </w:rPr>
              <w:t>EL FREN VALFİ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3</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9</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2910014785210</w:t>
            </w:r>
          </w:p>
        </w:tc>
        <w:tc>
          <w:tcPr>
            <w:tcW w:w="5844" w:type="dxa"/>
            <w:vAlign w:val="center"/>
            <w:hideMark/>
          </w:tcPr>
          <w:p w:rsidR="00A13F9A" w:rsidRPr="00A13F9A" w:rsidRDefault="00A13F9A" w:rsidP="00A13F9A">
            <w:pPr>
              <w:pStyle w:val="BodyText31"/>
              <w:jc w:val="left"/>
              <w:rPr>
                <w:color w:val="auto"/>
              </w:rPr>
            </w:pPr>
            <w:r w:rsidRPr="00A13F9A">
              <w:rPr>
                <w:color w:val="auto"/>
              </w:rPr>
              <w:t>ELEMAN FILITRE</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10</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2910270059181</w:t>
            </w:r>
          </w:p>
        </w:tc>
        <w:tc>
          <w:tcPr>
            <w:tcW w:w="5844" w:type="dxa"/>
            <w:vAlign w:val="center"/>
            <w:hideMark/>
          </w:tcPr>
          <w:p w:rsidR="00A13F9A" w:rsidRPr="00A13F9A" w:rsidRDefault="00A13F9A" w:rsidP="00A13F9A">
            <w:pPr>
              <w:pStyle w:val="BodyText31"/>
              <w:jc w:val="left"/>
              <w:rPr>
                <w:color w:val="auto"/>
              </w:rPr>
            </w:pPr>
            <w:r w:rsidRPr="00A13F9A">
              <w:rPr>
                <w:color w:val="auto"/>
              </w:rPr>
              <w:t>FILTRE, YAG</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11</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2920016063680</w:t>
            </w:r>
          </w:p>
        </w:tc>
        <w:tc>
          <w:tcPr>
            <w:tcW w:w="5844" w:type="dxa"/>
            <w:vAlign w:val="center"/>
            <w:hideMark/>
          </w:tcPr>
          <w:p w:rsidR="00A13F9A" w:rsidRPr="00A13F9A" w:rsidRDefault="00A13F9A" w:rsidP="00A13F9A">
            <w:pPr>
              <w:pStyle w:val="BodyText31"/>
              <w:jc w:val="left"/>
              <w:rPr>
                <w:color w:val="auto"/>
              </w:rPr>
            </w:pPr>
            <w:r w:rsidRPr="00A13F9A">
              <w:rPr>
                <w:color w:val="auto"/>
              </w:rPr>
              <w:t>KOLLEKTÖR</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15</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12</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2510270558117</w:t>
            </w:r>
          </w:p>
        </w:tc>
        <w:tc>
          <w:tcPr>
            <w:tcW w:w="5844" w:type="dxa"/>
            <w:vAlign w:val="center"/>
            <w:hideMark/>
          </w:tcPr>
          <w:p w:rsidR="00A13F9A" w:rsidRPr="00A13F9A" w:rsidRDefault="00A13F9A" w:rsidP="00A13F9A">
            <w:pPr>
              <w:pStyle w:val="BodyText31"/>
              <w:jc w:val="left"/>
              <w:rPr>
                <w:color w:val="auto"/>
              </w:rPr>
            </w:pPr>
            <w:r w:rsidRPr="00A13F9A">
              <w:rPr>
                <w:color w:val="auto"/>
              </w:rPr>
              <w:t>‌KAPAK KİLİT-SAĞ</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4</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13</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2510270558119</w:t>
            </w:r>
          </w:p>
        </w:tc>
        <w:tc>
          <w:tcPr>
            <w:tcW w:w="5844" w:type="dxa"/>
            <w:vAlign w:val="center"/>
            <w:hideMark/>
          </w:tcPr>
          <w:p w:rsidR="00A13F9A" w:rsidRPr="00A13F9A" w:rsidRDefault="00A13F9A" w:rsidP="00A13F9A">
            <w:pPr>
              <w:pStyle w:val="BodyText31"/>
              <w:jc w:val="left"/>
              <w:rPr>
                <w:color w:val="auto"/>
              </w:rPr>
            </w:pPr>
            <w:r w:rsidRPr="00A13F9A">
              <w:rPr>
                <w:color w:val="auto"/>
              </w:rPr>
              <w:t>‌KAPAK KİLİT-SOL</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8</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14</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2520270167979</w:t>
            </w:r>
          </w:p>
        </w:tc>
        <w:tc>
          <w:tcPr>
            <w:tcW w:w="5844" w:type="dxa"/>
            <w:vAlign w:val="center"/>
            <w:hideMark/>
          </w:tcPr>
          <w:p w:rsidR="00A13F9A" w:rsidRPr="00A13F9A" w:rsidRDefault="00A13F9A" w:rsidP="00A13F9A">
            <w:pPr>
              <w:pStyle w:val="BodyText31"/>
              <w:jc w:val="left"/>
              <w:rPr>
                <w:color w:val="auto"/>
              </w:rPr>
            </w:pPr>
            <w:r w:rsidRPr="00A13F9A">
              <w:rPr>
                <w:color w:val="auto"/>
              </w:rPr>
              <w:t>‌YARDIMCI SİLİNDİR, DEBRİYAJ ALT</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4</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15</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2530270126552</w:t>
            </w:r>
          </w:p>
        </w:tc>
        <w:tc>
          <w:tcPr>
            <w:tcW w:w="5844" w:type="dxa"/>
            <w:vAlign w:val="center"/>
            <w:hideMark/>
          </w:tcPr>
          <w:p w:rsidR="00A13F9A" w:rsidRPr="00A13F9A" w:rsidRDefault="00A13F9A" w:rsidP="00A13F9A">
            <w:pPr>
              <w:pStyle w:val="BodyText31"/>
              <w:jc w:val="left"/>
              <w:rPr>
                <w:color w:val="auto"/>
              </w:rPr>
            </w:pPr>
            <w:r w:rsidRPr="00A13F9A">
              <w:rPr>
                <w:color w:val="auto"/>
              </w:rPr>
              <w:t>EL FREN VALFİ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16</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2925270528974</w:t>
            </w:r>
          </w:p>
        </w:tc>
        <w:tc>
          <w:tcPr>
            <w:tcW w:w="5844" w:type="dxa"/>
            <w:vAlign w:val="center"/>
            <w:hideMark/>
          </w:tcPr>
          <w:p w:rsidR="00A13F9A" w:rsidRPr="00A13F9A" w:rsidRDefault="00A13F9A" w:rsidP="00A13F9A">
            <w:pPr>
              <w:pStyle w:val="BodyText31"/>
              <w:jc w:val="left"/>
              <w:rPr>
                <w:color w:val="auto"/>
              </w:rPr>
            </w:pPr>
            <w:r w:rsidRPr="00A13F9A">
              <w:rPr>
                <w:color w:val="auto"/>
              </w:rPr>
              <w:t>MARŞ MOTORU</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17</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3040270531311</w:t>
            </w:r>
          </w:p>
        </w:tc>
        <w:tc>
          <w:tcPr>
            <w:tcW w:w="5844" w:type="dxa"/>
            <w:vAlign w:val="center"/>
            <w:hideMark/>
          </w:tcPr>
          <w:p w:rsidR="00A13F9A" w:rsidRPr="00A13F9A" w:rsidRDefault="00A13F9A" w:rsidP="00A13F9A">
            <w:pPr>
              <w:pStyle w:val="BodyText31"/>
              <w:jc w:val="left"/>
              <w:rPr>
                <w:color w:val="auto"/>
              </w:rPr>
            </w:pPr>
            <w:r w:rsidRPr="00A13F9A">
              <w:rPr>
                <w:color w:val="auto"/>
              </w:rPr>
              <w:t>‌DEVİRME SİLİNDİRİ-KABİN (TOPRAK SARI)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18</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5330270231343</w:t>
            </w:r>
          </w:p>
        </w:tc>
        <w:tc>
          <w:tcPr>
            <w:tcW w:w="5844" w:type="dxa"/>
            <w:vAlign w:val="center"/>
            <w:hideMark/>
          </w:tcPr>
          <w:p w:rsidR="00A13F9A" w:rsidRPr="00A13F9A" w:rsidRDefault="00A13F9A" w:rsidP="00A13F9A">
            <w:pPr>
              <w:pStyle w:val="BodyText31"/>
              <w:jc w:val="left"/>
              <w:rPr>
                <w:color w:val="auto"/>
              </w:rPr>
            </w:pPr>
            <w:r w:rsidRPr="00A13F9A">
              <w:rPr>
                <w:color w:val="auto"/>
              </w:rPr>
              <w:t>‌KAPI CAM FİTİL SETİ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6</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19</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5330270529551</w:t>
            </w:r>
          </w:p>
        </w:tc>
        <w:tc>
          <w:tcPr>
            <w:tcW w:w="5844" w:type="dxa"/>
            <w:vAlign w:val="center"/>
            <w:hideMark/>
          </w:tcPr>
          <w:p w:rsidR="00A13F9A" w:rsidRPr="00A13F9A" w:rsidRDefault="00A13F9A" w:rsidP="00A13F9A">
            <w:pPr>
              <w:pStyle w:val="BodyText31"/>
              <w:jc w:val="left"/>
              <w:rPr>
                <w:color w:val="auto"/>
              </w:rPr>
            </w:pPr>
            <w:r w:rsidRPr="00A13F9A">
              <w:rPr>
                <w:color w:val="auto"/>
              </w:rPr>
              <w:t>TOZ LASTİĞİ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4</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20</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2510270119921</w:t>
            </w:r>
          </w:p>
        </w:tc>
        <w:tc>
          <w:tcPr>
            <w:tcW w:w="5844" w:type="dxa"/>
            <w:vAlign w:val="center"/>
            <w:hideMark/>
          </w:tcPr>
          <w:p w:rsidR="00A13F9A" w:rsidRPr="00A13F9A" w:rsidRDefault="00A13F9A" w:rsidP="00A13F9A">
            <w:pPr>
              <w:pStyle w:val="BodyText31"/>
              <w:jc w:val="left"/>
              <w:rPr>
                <w:color w:val="auto"/>
              </w:rPr>
            </w:pPr>
            <w:r w:rsidRPr="00A13F9A">
              <w:rPr>
                <w:color w:val="auto"/>
              </w:rPr>
              <w:t>‌KİLİT HAREKET MEKANİZMASI-SAĞ</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21</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2590270243036</w:t>
            </w:r>
          </w:p>
        </w:tc>
        <w:tc>
          <w:tcPr>
            <w:tcW w:w="5844" w:type="dxa"/>
            <w:vAlign w:val="center"/>
            <w:hideMark/>
          </w:tcPr>
          <w:p w:rsidR="00A13F9A" w:rsidRPr="00A13F9A" w:rsidRDefault="00A13F9A" w:rsidP="00A13F9A">
            <w:pPr>
              <w:pStyle w:val="BodyText31"/>
              <w:jc w:val="left"/>
              <w:rPr>
                <w:color w:val="auto"/>
              </w:rPr>
            </w:pPr>
            <w:r w:rsidRPr="00A13F9A">
              <w:rPr>
                <w:color w:val="auto"/>
              </w:rPr>
              <w:t>‌BRAKET, KALDIRIM AYNASI SAĞ</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22</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9340270554657</w:t>
            </w:r>
          </w:p>
        </w:tc>
        <w:tc>
          <w:tcPr>
            <w:tcW w:w="5844" w:type="dxa"/>
            <w:vAlign w:val="center"/>
            <w:hideMark/>
          </w:tcPr>
          <w:p w:rsidR="00A13F9A" w:rsidRPr="00A13F9A" w:rsidRDefault="00A13F9A" w:rsidP="00A13F9A">
            <w:pPr>
              <w:pStyle w:val="BodyText31"/>
              <w:jc w:val="left"/>
              <w:rPr>
                <w:color w:val="auto"/>
              </w:rPr>
            </w:pPr>
            <w:r w:rsidRPr="00A13F9A">
              <w:rPr>
                <w:color w:val="auto"/>
              </w:rPr>
              <w:t>‌KAPI CAMI - SAĞ</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2568C1">
        <w:trPr>
          <w:trHeight w:val="567"/>
        </w:trPr>
        <w:tc>
          <w:tcPr>
            <w:tcW w:w="576" w:type="dxa"/>
            <w:noWrap/>
            <w:vAlign w:val="center"/>
          </w:tcPr>
          <w:p w:rsidR="00A13F9A" w:rsidRPr="00A13F9A" w:rsidRDefault="00A13F9A" w:rsidP="00A13F9A">
            <w:pPr>
              <w:pStyle w:val="BodyText31"/>
              <w:jc w:val="center"/>
              <w:rPr>
                <w:bCs/>
                <w:color w:val="auto"/>
                <w:u w:val="single"/>
              </w:rPr>
            </w:pPr>
            <w:r w:rsidRPr="00A13F9A">
              <w:rPr>
                <w:bCs/>
                <w:color w:val="auto"/>
                <w:u w:val="single"/>
              </w:rPr>
              <w:lastRenderedPageBreak/>
              <w:t>S. NO</w:t>
            </w:r>
          </w:p>
        </w:tc>
        <w:tc>
          <w:tcPr>
            <w:tcW w:w="1910" w:type="dxa"/>
            <w:noWrap/>
            <w:vAlign w:val="center"/>
          </w:tcPr>
          <w:p w:rsidR="00A13F9A" w:rsidRPr="00A13F9A" w:rsidRDefault="00A13F9A" w:rsidP="00A13F9A">
            <w:pPr>
              <w:pStyle w:val="BodyText31"/>
              <w:jc w:val="center"/>
              <w:rPr>
                <w:bCs/>
                <w:color w:val="auto"/>
                <w:u w:val="single"/>
              </w:rPr>
            </w:pPr>
            <w:r w:rsidRPr="00A13F9A">
              <w:rPr>
                <w:bCs/>
                <w:color w:val="auto"/>
                <w:u w:val="single"/>
              </w:rPr>
              <w:t>STOK NO</w:t>
            </w:r>
          </w:p>
        </w:tc>
        <w:tc>
          <w:tcPr>
            <w:tcW w:w="5844" w:type="dxa"/>
            <w:vAlign w:val="center"/>
          </w:tcPr>
          <w:p w:rsidR="00A13F9A" w:rsidRPr="00A13F9A" w:rsidRDefault="00A13F9A" w:rsidP="00A13F9A">
            <w:pPr>
              <w:pStyle w:val="BodyText31"/>
              <w:jc w:val="center"/>
              <w:rPr>
                <w:bCs/>
                <w:color w:val="auto"/>
                <w:u w:val="single"/>
              </w:rPr>
            </w:pPr>
            <w:r w:rsidRPr="00A13F9A">
              <w:rPr>
                <w:bCs/>
                <w:color w:val="auto"/>
                <w:u w:val="single"/>
              </w:rPr>
              <w:t>MALZEMENİN CİNSİ</w:t>
            </w:r>
          </w:p>
        </w:tc>
        <w:tc>
          <w:tcPr>
            <w:tcW w:w="1418" w:type="dxa"/>
            <w:gridSpan w:val="2"/>
            <w:noWrap/>
            <w:vAlign w:val="center"/>
          </w:tcPr>
          <w:p w:rsidR="00A13F9A" w:rsidRPr="00A13F9A" w:rsidRDefault="00A13F9A" w:rsidP="00A13F9A">
            <w:pPr>
              <w:pStyle w:val="BodyText31"/>
              <w:jc w:val="center"/>
              <w:rPr>
                <w:bCs/>
                <w:color w:val="auto"/>
                <w:u w:val="single"/>
              </w:rPr>
            </w:pPr>
            <w:r w:rsidRPr="00A13F9A">
              <w:rPr>
                <w:bCs/>
                <w:color w:val="auto"/>
                <w:u w:val="single"/>
              </w:rPr>
              <w:t>MİKTARI</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23</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2530KK0590491</w:t>
            </w:r>
          </w:p>
        </w:tc>
        <w:tc>
          <w:tcPr>
            <w:tcW w:w="5844" w:type="dxa"/>
            <w:vAlign w:val="center"/>
            <w:hideMark/>
          </w:tcPr>
          <w:p w:rsidR="00A13F9A" w:rsidRPr="00A13F9A" w:rsidRDefault="00A13F9A" w:rsidP="00A13F9A">
            <w:pPr>
              <w:pStyle w:val="BodyText31"/>
              <w:jc w:val="left"/>
              <w:rPr>
                <w:color w:val="auto"/>
              </w:rPr>
            </w:pPr>
            <w:r w:rsidRPr="00A13F9A">
              <w:rPr>
                <w:color w:val="auto"/>
              </w:rPr>
              <w:t>‌TAMİR TAKIMI, AYAK FREN VENTİLİ İÇİN</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TK</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24</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2590KK0502823</w:t>
            </w:r>
          </w:p>
        </w:tc>
        <w:tc>
          <w:tcPr>
            <w:tcW w:w="5844" w:type="dxa"/>
            <w:vAlign w:val="center"/>
            <w:hideMark/>
          </w:tcPr>
          <w:p w:rsidR="00A13F9A" w:rsidRPr="00A13F9A" w:rsidRDefault="00A13F9A" w:rsidP="00A13F9A">
            <w:pPr>
              <w:pStyle w:val="BodyText31"/>
              <w:jc w:val="left"/>
              <w:rPr>
                <w:color w:val="auto"/>
              </w:rPr>
            </w:pPr>
            <w:r w:rsidRPr="00A13F9A">
              <w:rPr>
                <w:color w:val="auto"/>
              </w:rPr>
              <w:t>‌BRAKET, AYNA BAĞLANTI SAĞ ALT</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25</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2520KK0479379</w:t>
            </w:r>
          </w:p>
        </w:tc>
        <w:tc>
          <w:tcPr>
            <w:tcW w:w="5844" w:type="dxa"/>
            <w:vAlign w:val="center"/>
            <w:hideMark/>
          </w:tcPr>
          <w:p w:rsidR="00A13F9A" w:rsidRPr="00A13F9A" w:rsidRDefault="00A13F9A" w:rsidP="00A13F9A">
            <w:pPr>
              <w:pStyle w:val="BodyText31"/>
              <w:jc w:val="left"/>
              <w:rPr>
                <w:color w:val="auto"/>
              </w:rPr>
            </w:pPr>
            <w:r w:rsidRPr="00A13F9A">
              <w:rPr>
                <w:color w:val="auto"/>
              </w:rPr>
              <w:t>DİYAFRAM</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10</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26</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2530123442776</w:t>
            </w:r>
          </w:p>
        </w:tc>
        <w:tc>
          <w:tcPr>
            <w:tcW w:w="5844" w:type="dxa"/>
            <w:vAlign w:val="center"/>
            <w:hideMark/>
          </w:tcPr>
          <w:p w:rsidR="00A13F9A" w:rsidRPr="00A13F9A" w:rsidRDefault="00A13F9A" w:rsidP="00A13F9A">
            <w:pPr>
              <w:pStyle w:val="BodyText31"/>
              <w:jc w:val="left"/>
              <w:rPr>
                <w:color w:val="auto"/>
              </w:rPr>
            </w:pPr>
            <w:r w:rsidRPr="00A13F9A">
              <w:rPr>
                <w:color w:val="auto"/>
              </w:rPr>
              <w:t>‌TAMİR TAKIMI, ROLE  FREN VENTİLİ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27</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2530270059631</w:t>
            </w:r>
          </w:p>
        </w:tc>
        <w:tc>
          <w:tcPr>
            <w:tcW w:w="5844" w:type="dxa"/>
            <w:vAlign w:val="center"/>
            <w:hideMark/>
          </w:tcPr>
          <w:p w:rsidR="00A13F9A" w:rsidRPr="00A13F9A" w:rsidRDefault="00A13F9A" w:rsidP="00A13F9A">
            <w:pPr>
              <w:pStyle w:val="BodyText31"/>
              <w:jc w:val="left"/>
              <w:rPr>
                <w:color w:val="auto"/>
              </w:rPr>
            </w:pPr>
            <w:r w:rsidRPr="00A13F9A">
              <w:rPr>
                <w:color w:val="auto"/>
              </w:rPr>
              <w:t>‌DEBRİYAJ MERKEZ SİLİNDİRİ-ÜST</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5</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28</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5325KK0642508</w:t>
            </w:r>
          </w:p>
        </w:tc>
        <w:tc>
          <w:tcPr>
            <w:tcW w:w="5844" w:type="dxa"/>
            <w:vAlign w:val="center"/>
            <w:hideMark/>
          </w:tcPr>
          <w:p w:rsidR="00A13F9A" w:rsidRPr="00A13F9A" w:rsidRDefault="00A13F9A" w:rsidP="00A13F9A">
            <w:pPr>
              <w:pStyle w:val="BodyText31"/>
              <w:jc w:val="left"/>
              <w:rPr>
                <w:color w:val="auto"/>
              </w:rPr>
            </w:pPr>
            <w:r w:rsidRPr="00A13F9A">
              <w:rPr>
                <w:color w:val="auto"/>
              </w:rPr>
              <w:t>‌KAPSÜL BÜYÜK , PULU İLE BİRLİKTE</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26</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29</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5340KK0642510</w:t>
            </w:r>
          </w:p>
        </w:tc>
        <w:tc>
          <w:tcPr>
            <w:tcW w:w="5844" w:type="dxa"/>
            <w:vAlign w:val="center"/>
            <w:hideMark/>
          </w:tcPr>
          <w:p w:rsidR="00A13F9A" w:rsidRPr="00A13F9A" w:rsidRDefault="00A13F9A" w:rsidP="00A13F9A">
            <w:pPr>
              <w:pStyle w:val="BodyText31"/>
              <w:jc w:val="left"/>
              <w:rPr>
                <w:color w:val="auto"/>
              </w:rPr>
            </w:pPr>
            <w:r w:rsidRPr="00A13F9A">
              <w:rPr>
                <w:color w:val="auto"/>
              </w:rPr>
              <w:t>‌TENTE BAĞLANTI TOKASI</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26</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30</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2540KK0379792</w:t>
            </w:r>
          </w:p>
        </w:tc>
        <w:tc>
          <w:tcPr>
            <w:tcW w:w="5844" w:type="dxa"/>
            <w:vAlign w:val="center"/>
            <w:hideMark/>
          </w:tcPr>
          <w:p w:rsidR="00A13F9A" w:rsidRPr="00A13F9A" w:rsidRDefault="00A13F9A" w:rsidP="00A13F9A">
            <w:pPr>
              <w:pStyle w:val="BodyText31"/>
              <w:jc w:val="left"/>
              <w:rPr>
                <w:color w:val="auto"/>
              </w:rPr>
            </w:pPr>
            <w:r w:rsidRPr="00A13F9A">
              <w:rPr>
                <w:color w:val="auto"/>
              </w:rPr>
              <w:t>‌MERDİVEN, ARKA KAPAK</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31</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5330270500077</w:t>
            </w:r>
          </w:p>
        </w:tc>
        <w:tc>
          <w:tcPr>
            <w:tcW w:w="5844" w:type="dxa"/>
            <w:vAlign w:val="center"/>
            <w:hideMark/>
          </w:tcPr>
          <w:p w:rsidR="00A13F9A" w:rsidRPr="00A13F9A" w:rsidRDefault="00A13F9A" w:rsidP="00A13F9A">
            <w:pPr>
              <w:pStyle w:val="BodyText31"/>
              <w:jc w:val="left"/>
              <w:rPr>
                <w:color w:val="auto"/>
              </w:rPr>
            </w:pPr>
            <w:r w:rsidRPr="00A13F9A">
              <w:rPr>
                <w:color w:val="auto"/>
              </w:rPr>
              <w:t>‌LASTİK , KAPAK TESPİT</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4</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A13F9A">
        <w:trPr>
          <w:trHeight w:val="567"/>
        </w:trPr>
        <w:tc>
          <w:tcPr>
            <w:tcW w:w="576" w:type="dxa"/>
            <w:noWrap/>
            <w:vAlign w:val="center"/>
            <w:hideMark/>
          </w:tcPr>
          <w:p w:rsidR="00A13F9A" w:rsidRPr="00A13F9A" w:rsidRDefault="00A13F9A" w:rsidP="00A13F9A">
            <w:pPr>
              <w:pStyle w:val="BodyText31"/>
              <w:jc w:val="center"/>
              <w:rPr>
                <w:color w:val="auto"/>
              </w:rPr>
            </w:pPr>
            <w:r w:rsidRPr="00A13F9A">
              <w:rPr>
                <w:color w:val="auto"/>
              </w:rPr>
              <w:t>32</w:t>
            </w:r>
          </w:p>
        </w:tc>
        <w:tc>
          <w:tcPr>
            <w:tcW w:w="1910" w:type="dxa"/>
            <w:noWrap/>
            <w:vAlign w:val="center"/>
            <w:hideMark/>
          </w:tcPr>
          <w:p w:rsidR="00A13F9A" w:rsidRPr="00A13F9A" w:rsidRDefault="00A13F9A" w:rsidP="00A13F9A">
            <w:pPr>
              <w:pStyle w:val="BodyText31"/>
              <w:jc w:val="center"/>
              <w:rPr>
                <w:color w:val="auto"/>
              </w:rPr>
            </w:pPr>
            <w:r w:rsidRPr="00A13F9A">
              <w:rPr>
                <w:color w:val="auto"/>
              </w:rPr>
              <w:t>9340270548841</w:t>
            </w:r>
          </w:p>
        </w:tc>
        <w:tc>
          <w:tcPr>
            <w:tcW w:w="5844" w:type="dxa"/>
            <w:vAlign w:val="center"/>
            <w:hideMark/>
          </w:tcPr>
          <w:p w:rsidR="00A13F9A" w:rsidRPr="00A13F9A" w:rsidRDefault="00A13F9A" w:rsidP="00A13F9A">
            <w:pPr>
              <w:pStyle w:val="BodyText31"/>
              <w:jc w:val="left"/>
              <w:rPr>
                <w:color w:val="auto"/>
              </w:rPr>
            </w:pPr>
            <w:r w:rsidRPr="00A13F9A">
              <w:rPr>
                <w:color w:val="auto"/>
              </w:rPr>
              <w:t>ÖN CAM</w:t>
            </w:r>
          </w:p>
        </w:tc>
        <w:tc>
          <w:tcPr>
            <w:tcW w:w="702" w:type="dxa"/>
            <w:noWrap/>
            <w:vAlign w:val="center"/>
            <w:hideMark/>
          </w:tcPr>
          <w:p w:rsidR="00A13F9A" w:rsidRPr="00A13F9A" w:rsidRDefault="00A13F9A" w:rsidP="00A13F9A">
            <w:pPr>
              <w:pStyle w:val="BodyText31"/>
              <w:jc w:val="center"/>
              <w:rPr>
                <w:color w:val="auto"/>
              </w:rPr>
            </w:pPr>
            <w:r w:rsidRPr="00A13F9A">
              <w:rPr>
                <w:color w:val="auto"/>
              </w:rPr>
              <w:t>1</w:t>
            </w:r>
          </w:p>
        </w:tc>
        <w:tc>
          <w:tcPr>
            <w:tcW w:w="716" w:type="dxa"/>
            <w:noWrap/>
            <w:vAlign w:val="center"/>
            <w:hideMark/>
          </w:tcPr>
          <w:p w:rsidR="00A13F9A" w:rsidRPr="00A13F9A" w:rsidRDefault="00A13F9A" w:rsidP="00A13F9A">
            <w:pPr>
              <w:pStyle w:val="BodyText31"/>
              <w:jc w:val="center"/>
              <w:rPr>
                <w:color w:val="auto"/>
              </w:rPr>
            </w:pPr>
            <w:r w:rsidRPr="00A13F9A">
              <w:rPr>
                <w:color w:val="auto"/>
              </w:rPr>
              <w:t>AD</w:t>
            </w:r>
          </w:p>
        </w:tc>
      </w:tr>
      <w:tr w:rsidR="00A13F9A" w:rsidRPr="00A13F9A" w:rsidTr="00405B86">
        <w:trPr>
          <w:trHeight w:val="567"/>
        </w:trPr>
        <w:tc>
          <w:tcPr>
            <w:tcW w:w="9748" w:type="dxa"/>
            <w:gridSpan w:val="5"/>
            <w:noWrap/>
            <w:vAlign w:val="center"/>
          </w:tcPr>
          <w:p w:rsidR="00A13F9A" w:rsidRPr="00A13F9A" w:rsidRDefault="00A13F9A" w:rsidP="00A13F9A">
            <w:pPr>
              <w:pStyle w:val="BodyText31"/>
              <w:jc w:val="center"/>
              <w:rPr>
                <w:color w:val="auto"/>
              </w:rPr>
            </w:pPr>
            <w:r>
              <w:rPr>
                <w:color w:val="auto"/>
              </w:rPr>
              <w:t>/////////////////// YALNIZ 32 (OTUZİKİ)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w:t>
      </w:r>
      <w:r w:rsidRPr="00667EAC">
        <w:rPr>
          <w:rStyle w:val="richtext"/>
          <w:bCs/>
          <w:color w:val="auto"/>
        </w:rPr>
        <w:lastRenderedPageBreak/>
        <w:t xml:space="preserve">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DB60DC" w:rsidRDefault="00DB60DC"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A13F9A">
        <w:rPr>
          <w:b/>
          <w:color w:val="FF0000"/>
        </w:rPr>
        <w:t>6</w:t>
      </w:r>
      <w:r w:rsidR="008271F5">
        <w:rPr>
          <w:b/>
          <w:color w:val="FF0000"/>
        </w:rPr>
        <w:t>0</w:t>
      </w:r>
      <w:r w:rsidR="00BA5EA7" w:rsidRPr="007A4FB9">
        <w:rPr>
          <w:b/>
          <w:color w:val="FF0000"/>
        </w:rPr>
        <w:t xml:space="preserve"> </w:t>
      </w:r>
      <w:r w:rsidR="00AC4ADC" w:rsidRPr="007A4FB9">
        <w:rPr>
          <w:b/>
          <w:color w:val="FF0000"/>
        </w:rPr>
        <w:t>(</w:t>
      </w:r>
      <w:r w:rsidR="00A13F9A">
        <w:rPr>
          <w:b/>
          <w:color w:val="FF0000"/>
        </w:rPr>
        <w:t>Altmış</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lastRenderedPageBreak/>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lastRenderedPageBreak/>
        <w:t>11.1.2</w:t>
      </w:r>
      <w:r w:rsidR="00B16E7C" w:rsidRPr="00667EAC">
        <w:rPr>
          <w:b/>
          <w:bCs/>
          <w:color w:val="auto"/>
        </w:rPr>
        <w:t>.</w:t>
      </w:r>
      <w:r w:rsidR="00B16E7C" w:rsidRPr="00667EAC">
        <w:rPr>
          <w:color w:val="auto"/>
        </w:rPr>
        <w:t xml:space="preserve">Yüklenici........................................................................................................................................[Teminat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r w:rsidR="00605DFF">
        <w:rPr>
          <w:color w:val="auto"/>
        </w:rPr>
        <w:t>hak</w:t>
      </w:r>
      <w:r w:rsidR="00605DFF" w:rsidRPr="00667EAC">
        <w:rPr>
          <w:color w:val="auto"/>
        </w:rPr>
        <w:t>edişlerden</w:t>
      </w:r>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A13F9A">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7A4FB9">
        <w:rPr>
          <w:color w:val="FF0000"/>
        </w:rPr>
        <w:t>M0763-AFK70HD31</w:t>
      </w:r>
      <w:r w:rsidR="00527BE6" w:rsidRPr="004134EE">
        <w:rPr>
          <w:color w:val="FF0000"/>
        </w:rPr>
        <w:t xml:space="preserve"> </w:t>
      </w:r>
      <w:r w:rsidR="007A4FB9">
        <w:rPr>
          <w:color w:val="FF0000"/>
        </w:rPr>
        <w:t>Tekerlekli</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lastRenderedPageBreak/>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lastRenderedPageBreak/>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w:t>
      </w:r>
      <w:r w:rsidRPr="00667EAC">
        <w:rPr>
          <w:color w:val="auto"/>
        </w:rPr>
        <w:lastRenderedPageBreak/>
        <w:t xml:space="preserve">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lastRenderedPageBreak/>
        <w:t>c.</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lastRenderedPageBreak/>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w:t>
      </w:r>
      <w:r w:rsidRPr="00667EAC">
        <w:rPr>
          <w:color w:val="auto"/>
        </w:rPr>
        <w:lastRenderedPageBreak/>
        <w:t xml:space="preserve">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Pr>
          <w:b/>
          <w:bCs/>
          <w:color w:val="FF0000"/>
        </w:rPr>
        <w:t>da</w:t>
      </w:r>
      <w:r w:rsidR="00B2442F" w:rsidRPr="00724C93">
        <w:rPr>
          <w:b/>
          <w:bCs/>
          <w:color w:val="FF0000"/>
        </w:rPr>
        <w:t>hil</w:t>
      </w:r>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w:t>
      </w:r>
      <w:r w:rsidRPr="00724C93">
        <w:rPr>
          <w:b/>
          <w:bCs/>
          <w:color w:val="FF0000"/>
        </w:rPr>
        <w:lastRenderedPageBreak/>
        <w:t xml:space="preserve">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r w:rsidR="00B2442F">
        <w:rPr>
          <w:b/>
          <w:bCs/>
          <w:color w:val="auto"/>
        </w:rPr>
        <w:t>dökümanında</w:t>
      </w:r>
      <w:r w:rsidR="008725C7">
        <w:rPr>
          <w:b/>
          <w:bCs/>
          <w:color w:val="auto"/>
        </w:rPr>
        <w:t xml:space="preserve"> atıfta bulunulan diğer dökümanlar)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w:t>
      </w:r>
      <w:r w:rsidRPr="003F4E56">
        <w:rPr>
          <w:b/>
          <w:bCs/>
          <w:color w:val="auto"/>
        </w:rPr>
        <w:lastRenderedPageBreak/>
        <w:t xml:space="preserve">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w:t>
      </w:r>
      <w:r w:rsidRPr="003F4E56">
        <w:rPr>
          <w:b/>
          <w:bCs/>
          <w:color w:val="auto"/>
        </w:rPr>
        <w:lastRenderedPageBreak/>
        <w:t xml:space="preserve">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lastRenderedPageBreak/>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w:t>
      </w:r>
      <w:r w:rsidRPr="003F4E56">
        <w:rPr>
          <w:b/>
          <w:bCs/>
          <w:color w:val="auto"/>
        </w:rPr>
        <w:lastRenderedPageBreak/>
        <w:t xml:space="preserve">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w:t>
      </w:r>
      <w:r w:rsidRPr="003F4E56">
        <w:rPr>
          <w:b/>
          <w:bCs/>
          <w:color w:val="auto"/>
        </w:rPr>
        <w:lastRenderedPageBreak/>
        <w:t xml:space="preserve">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lastRenderedPageBreak/>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050E24" w:rsidP="003F4E56">
      <w:pPr>
        <w:spacing w:before="120"/>
        <w:jc w:val="both"/>
        <w:rPr>
          <w:b/>
          <w:bCs/>
          <w:color w:val="auto"/>
        </w:rPr>
      </w:pPr>
      <w:r>
        <w:rPr>
          <w:b/>
          <w:bCs/>
          <w:color w:val="auto"/>
        </w:rPr>
        <w:t xml:space="preserve">ç- </w:t>
      </w:r>
      <w:r w:rsidR="003F4E56" w:rsidRPr="003F4E56">
        <w:rPr>
          <w:b/>
          <w:bCs/>
          <w:color w:val="auto"/>
        </w:rPr>
        <w:t>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lastRenderedPageBreak/>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lastRenderedPageBreak/>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lastRenderedPageBreak/>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w:t>
      </w:r>
      <w:r w:rsidRPr="00667EAC">
        <w:rPr>
          <w:color w:val="auto"/>
        </w:rPr>
        <w:lastRenderedPageBreak/>
        <w:t xml:space="preserve">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991F5B" w:rsidRDefault="00991F5B" w:rsidP="00B16E7C">
      <w:pPr>
        <w:jc w:val="both"/>
        <w:rPr>
          <w:color w:val="auto"/>
        </w:rPr>
      </w:pPr>
    </w:p>
    <w:p w:rsidR="00494E06" w:rsidRDefault="00991F5B" w:rsidP="00991F5B">
      <w:pPr>
        <w:rPr>
          <w:b/>
          <w:bCs/>
          <w:color w:val="auto"/>
        </w:rPr>
      </w:pPr>
      <w:r w:rsidRPr="00FD5525">
        <w:rPr>
          <w:rFonts w:eastAsia="Times New Roman"/>
          <w:b/>
        </w:rPr>
        <w:t>42.Kodlandırma Hükümleri</w:t>
      </w:r>
      <w:r w:rsidRPr="00FD5525">
        <w:rPr>
          <w:rFonts w:eastAsia="Times New Roman"/>
          <w:b/>
        </w:rPr>
        <w:br/>
        <w:t>4</w:t>
      </w:r>
      <w:r>
        <w:rPr>
          <w:rFonts w:eastAsia="Times New Roman"/>
          <w:b/>
        </w:rPr>
        <w:t>2</w:t>
      </w:r>
      <w:r w:rsidRPr="00FD5525">
        <w:rPr>
          <w:rFonts w:eastAsia="Times New Roman"/>
          <w:b/>
        </w:rPr>
        <w:t>.1.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42.3. Yüklenicinin, kesin kabul muayene aşamasına kadar kodlandırılması mümkün olmayan malzemeler için ( ana malzeme/çok parçalı sistemlerde, kodlandırılması NATO ülkeleri ve NATO Kodlandırma Sistemine dahil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w:t>
      </w:r>
      <w:r w:rsidRPr="00FD5525">
        <w:rPr>
          <w:rFonts w:eastAsia="Times New Roman"/>
          <w:b/>
        </w:rPr>
        <w:lastRenderedPageBreak/>
        <w:t>kodlandırma hükümleri uygulanacaktır. Yüklenici ihalesini aldığı malzemelere ayrı ayrı MSB. Milli Kodlandırma Bürosu (ANKARA) tarafından verilecek olan stok numarasını alarak barkod ve etiketleme işlemini yapacaktır. Yüklenici, MSB.lığına herhangi bir ilave yük getirmeksizin, TSK.ne temin etmeyi taahhüt ettiği malların kodlandırılması için gerekli bilgi ve belgeyi ( başvuru dilekçesi, malzeme tanımlama bilgileri, imalatçı sözleşmesi ve teknik veriler, çizimler gibi) Milli Kodlandırma Bürosuna (MSB. TEK.HİZ.D.BŞK.lığı) vermek, kodlandırma işlemleri tamamlanıncaya kadar, kodlandırma ile ilgili her türlü bilgi ve belgeyi MKB.na vermekle yükümlüdür.</w:t>
      </w:r>
      <w:r w:rsidRPr="00FD5525">
        <w:rPr>
          <w:rFonts w:eastAsia="Times New Roman"/>
          <w:b/>
        </w:rPr>
        <w:br/>
      </w:r>
      <w:r w:rsidRPr="00FD5525">
        <w:rPr>
          <w:rFonts w:eastAsia="Times New Roman"/>
          <w:b/>
        </w:rPr>
        <w:br/>
        <w:t>42.6. Bu maksatla müteahhit, MKB nin kodlandırma için talep edeceği formları ve diğer bilgileri kağıt, disket, E- mail gibi vasıtalarla ve MKB.nin kodlandırma uzmanlarınca belirtilen özelliklere göre tam ve eksiksiz olarak hazırlayacak ve MKB ye teslim edilecektir. Yüklenici, Türk Milli Kodlandırma Bürosunun isteği halinde, malzeme tanımlama bilgilerini derlemek üzere MKBye, uzman personel görevlendirmekle yükümlüdür.</w:t>
      </w:r>
      <w:r w:rsidRPr="00FD5525">
        <w:rPr>
          <w:rFonts w:eastAsia="Times New Roman"/>
          <w:b/>
        </w:rPr>
        <w:br/>
      </w:r>
      <w:r w:rsidRPr="00FD5525">
        <w:rPr>
          <w:rFonts w:eastAsia="Times New Roman"/>
          <w:b/>
        </w:rPr>
        <w:br/>
        <w:t>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r>
      <w:r w:rsidRPr="00FD5525">
        <w:rPr>
          <w:rFonts w:eastAsia="Times New Roman"/>
          <w:b/>
        </w:rPr>
        <w:br/>
        <w:t>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sı olup ta NATO NMCLR dokümanında Türkiye kullanıcı olarak kayıtlı ise yüklenici kodlandırma işleminden muaf sayılır.</w:t>
      </w:r>
      <w:r w:rsidRPr="00FD5525">
        <w:rPr>
          <w:rFonts w:eastAsia="Times New Roman"/>
          <w:b/>
        </w:rPr>
        <w:br/>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B16E7C">
      <w:pPr>
        <w:spacing w:before="120"/>
        <w:jc w:val="both"/>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A13F9A" w:rsidRDefault="00A13F9A" w:rsidP="00B01077">
      <w:pPr>
        <w:jc w:val="both"/>
        <w:rPr>
          <w:rFonts w:eastAsia="Times New Roman"/>
          <w:b/>
          <w:color w:val="auto"/>
        </w:rPr>
      </w:pP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lastRenderedPageBreak/>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Yüklenici, sözleşme süresi boyunca tedarik/ihtiyaç makamları bilgisi dahilinde malzeme üzerinde yapılan değişikliklerinden (tadilat, tasarım gibi) doğan güncelleme bilgilerini de sağlamakla yükümlüdür.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A13F9A" w:rsidRDefault="00A13F9A" w:rsidP="00B01077">
      <w:pPr>
        <w:jc w:val="both"/>
        <w:rPr>
          <w:rFonts w:eastAsia="Times New Roman"/>
          <w:b/>
          <w:color w:val="auto"/>
        </w:rPr>
      </w:pPr>
    </w:p>
    <w:p w:rsidR="00A13F9A" w:rsidRDefault="00A13F9A" w:rsidP="00B01077">
      <w:pPr>
        <w:jc w:val="both"/>
        <w:rPr>
          <w:rFonts w:eastAsia="Times New Roman"/>
          <w:b/>
          <w:color w:val="auto"/>
        </w:rPr>
      </w:pP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lastRenderedPageBreak/>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.2.3. 56’ncı Bkm.Fb.Md.lüğünce yapılacak bütün işlemlerden alım yetkilisi ve harcama yetkilisi birimlerine bilgi verilecektir.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t xml:space="preserve">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w:t>
      </w:r>
      <w:r w:rsidRPr="00B01077">
        <w:rPr>
          <w:rFonts w:eastAsia="Times New Roman"/>
          <w:b/>
          <w:color w:val="auto"/>
        </w:rPr>
        <w:lastRenderedPageBreak/>
        <w:t>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A13F9A" w:rsidRDefault="00A13F9A"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A13F9A" w:rsidRDefault="00A13F9A"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DC" w:rsidRDefault="00DB60DC" w:rsidP="00D67065">
      <w:r>
        <w:separator/>
      </w:r>
    </w:p>
  </w:endnote>
  <w:endnote w:type="continuationSeparator" w:id="0">
    <w:p w:rsidR="00DB60DC" w:rsidRDefault="00DB60D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DB60DC" w:rsidRDefault="00DB60DC">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923FD">
          <w:rPr>
            <w:rFonts w:ascii="Arial" w:hAnsi="Arial" w:cs="Arial"/>
            <w:b w:val="0"/>
            <w:noProof/>
            <w:sz w:val="22"/>
          </w:rPr>
          <w:t>1</w:t>
        </w:r>
        <w:r w:rsidRPr="00D67065">
          <w:rPr>
            <w:rFonts w:ascii="Arial" w:hAnsi="Arial" w:cs="Arial"/>
            <w:b w:val="0"/>
            <w:sz w:val="22"/>
          </w:rPr>
          <w:fldChar w:fldCharType="end"/>
        </w:r>
      </w:p>
    </w:sdtContent>
  </w:sdt>
  <w:p w:rsidR="00DB60DC" w:rsidRDefault="00DB60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DC" w:rsidRDefault="00DB60DC" w:rsidP="00D67065">
      <w:r>
        <w:separator/>
      </w:r>
    </w:p>
  </w:footnote>
  <w:footnote w:type="continuationSeparator" w:id="0">
    <w:p w:rsidR="00DB60DC" w:rsidRDefault="00DB60D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0DC" w:rsidRPr="00761554" w:rsidRDefault="00DB60DC"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7DD6"/>
    <w:rsid w:val="000F15E9"/>
    <w:rsid w:val="000F4CA2"/>
    <w:rsid w:val="00103C12"/>
    <w:rsid w:val="001129EB"/>
    <w:rsid w:val="001156FD"/>
    <w:rsid w:val="00157F58"/>
    <w:rsid w:val="00187C50"/>
    <w:rsid w:val="00215A73"/>
    <w:rsid w:val="0026051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83912"/>
    <w:rsid w:val="00494E06"/>
    <w:rsid w:val="004A78C5"/>
    <w:rsid w:val="004F3349"/>
    <w:rsid w:val="004F676E"/>
    <w:rsid w:val="00510FE7"/>
    <w:rsid w:val="00527BE6"/>
    <w:rsid w:val="00530089"/>
    <w:rsid w:val="005528A7"/>
    <w:rsid w:val="00554410"/>
    <w:rsid w:val="00556D9D"/>
    <w:rsid w:val="005727D2"/>
    <w:rsid w:val="00580F8D"/>
    <w:rsid w:val="00584026"/>
    <w:rsid w:val="0058750B"/>
    <w:rsid w:val="00590EE3"/>
    <w:rsid w:val="00605DFF"/>
    <w:rsid w:val="00607020"/>
    <w:rsid w:val="00615C40"/>
    <w:rsid w:val="00636717"/>
    <w:rsid w:val="00643EE8"/>
    <w:rsid w:val="00653AA8"/>
    <w:rsid w:val="0065590B"/>
    <w:rsid w:val="00657F4A"/>
    <w:rsid w:val="00667EAC"/>
    <w:rsid w:val="006854BB"/>
    <w:rsid w:val="006923FD"/>
    <w:rsid w:val="006A7DF8"/>
    <w:rsid w:val="006E23C6"/>
    <w:rsid w:val="00700507"/>
    <w:rsid w:val="00724C93"/>
    <w:rsid w:val="00761554"/>
    <w:rsid w:val="0078577C"/>
    <w:rsid w:val="00790F09"/>
    <w:rsid w:val="00793637"/>
    <w:rsid w:val="007A4FB9"/>
    <w:rsid w:val="007E73AA"/>
    <w:rsid w:val="007F36B5"/>
    <w:rsid w:val="008222BF"/>
    <w:rsid w:val="008271F5"/>
    <w:rsid w:val="00832C76"/>
    <w:rsid w:val="008628E3"/>
    <w:rsid w:val="008725C7"/>
    <w:rsid w:val="00887D51"/>
    <w:rsid w:val="008B6F07"/>
    <w:rsid w:val="008B7DCF"/>
    <w:rsid w:val="008C55F8"/>
    <w:rsid w:val="008D269F"/>
    <w:rsid w:val="008E0763"/>
    <w:rsid w:val="008E48D5"/>
    <w:rsid w:val="008F5437"/>
    <w:rsid w:val="00904A3C"/>
    <w:rsid w:val="00910A06"/>
    <w:rsid w:val="00911033"/>
    <w:rsid w:val="009158CD"/>
    <w:rsid w:val="00926342"/>
    <w:rsid w:val="0099194C"/>
    <w:rsid w:val="00991F5B"/>
    <w:rsid w:val="00993124"/>
    <w:rsid w:val="00994864"/>
    <w:rsid w:val="009F20F3"/>
    <w:rsid w:val="00A13F9A"/>
    <w:rsid w:val="00A2576E"/>
    <w:rsid w:val="00A279D5"/>
    <w:rsid w:val="00A27EEA"/>
    <w:rsid w:val="00A36C84"/>
    <w:rsid w:val="00A46057"/>
    <w:rsid w:val="00A813B5"/>
    <w:rsid w:val="00A83962"/>
    <w:rsid w:val="00A83A5B"/>
    <w:rsid w:val="00AC4ADC"/>
    <w:rsid w:val="00AD3764"/>
    <w:rsid w:val="00AF2EFC"/>
    <w:rsid w:val="00B01077"/>
    <w:rsid w:val="00B16E7C"/>
    <w:rsid w:val="00B2442F"/>
    <w:rsid w:val="00B74845"/>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B60DC"/>
    <w:rsid w:val="00DC4F59"/>
    <w:rsid w:val="00DC5404"/>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AA958-6B2B-49E2-8ADF-ECD6124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908003450">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EA76-C0B8-4E6D-9938-EDBD0BB4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31</Pages>
  <Words>14936</Words>
  <Characters>85137</Characters>
  <Application>Microsoft Office Word</Application>
  <DocSecurity>0</DocSecurity>
  <Lines>709</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FAHRETTİN YÖRÜR (GİHSSVL.ME.)(KKK)(E)</cp:lastModifiedBy>
  <cp:revision>111</cp:revision>
  <cp:lastPrinted>2019-11-18T13:10:00Z</cp:lastPrinted>
  <dcterms:created xsi:type="dcterms:W3CDTF">2018-03-10T17:53:00Z</dcterms:created>
  <dcterms:modified xsi:type="dcterms:W3CDTF">2021-08-05T05:10:00Z</dcterms:modified>
</cp:coreProperties>
</file>