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1F54"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691BBF" w:rsidP="00EC3E7D">
            <w:pPr>
              <w:pStyle w:val="GvdeMetni"/>
              <w:spacing w:after="120" w:line="240" w:lineRule="auto"/>
              <w:jc w:val="center"/>
              <w:rPr>
                <w:color w:val="FF0000"/>
                <w:sz w:val="22"/>
                <w:szCs w:val="22"/>
              </w:rPr>
            </w:pPr>
            <w:r>
              <w:rPr>
                <w:color w:val="FF0000"/>
                <w:sz w:val="22"/>
                <w:szCs w:val="22"/>
              </w:rPr>
              <w:t>4</w:t>
            </w:r>
            <w:r w:rsidR="00381E3B">
              <w:rPr>
                <w:color w:val="FF0000"/>
                <w:sz w:val="22"/>
                <w:szCs w:val="22"/>
              </w:rPr>
              <w:t xml:space="preserve"> </w:t>
            </w:r>
            <w:r w:rsidR="000A6E97">
              <w:rPr>
                <w:color w:val="FF0000"/>
                <w:sz w:val="22"/>
                <w:szCs w:val="22"/>
              </w:rPr>
              <w:t xml:space="preserve">KISIM 4 </w:t>
            </w:r>
            <w:r w:rsidR="00BF15B6">
              <w:rPr>
                <w:color w:val="FF0000"/>
                <w:sz w:val="22"/>
                <w:szCs w:val="22"/>
              </w:rPr>
              <w:t xml:space="preserve">KALEM </w:t>
            </w:r>
            <w:r>
              <w:rPr>
                <w:color w:val="FF0000"/>
                <w:sz w:val="22"/>
                <w:szCs w:val="22"/>
              </w:rPr>
              <w:t>SET AVADANLIK</w:t>
            </w:r>
            <w:r w:rsidR="00BB529E">
              <w:rPr>
                <w:color w:val="FF0000"/>
                <w:sz w:val="22"/>
                <w:szCs w:val="22"/>
              </w:rPr>
              <w:t xml:space="preserve"> MALZEMESİ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691BBF">
        <w:rPr>
          <w:rFonts w:ascii="Times New Roman" w:hAnsi="Times New Roman" w:cs="Times New Roman"/>
          <w:color w:val="FF0000"/>
          <w:sz w:val="24"/>
          <w:szCs w:val="24"/>
        </w:rPr>
        <w:t>4</w:t>
      </w:r>
      <w:r w:rsidR="00332096">
        <w:rPr>
          <w:rFonts w:ascii="Times New Roman" w:hAnsi="Times New Roman" w:cs="Times New Roman"/>
          <w:color w:val="FF0000"/>
          <w:sz w:val="24"/>
          <w:szCs w:val="24"/>
        </w:rPr>
        <w:t xml:space="preserve"> </w:t>
      </w:r>
      <w:r w:rsidR="000A6E97">
        <w:rPr>
          <w:rFonts w:ascii="Times New Roman" w:hAnsi="Times New Roman" w:cs="Times New Roman"/>
          <w:color w:val="FF0000"/>
          <w:sz w:val="24"/>
          <w:szCs w:val="24"/>
        </w:rPr>
        <w:t xml:space="preserve">KISIM 4 </w:t>
      </w:r>
      <w:r w:rsidR="00C143F6" w:rsidRPr="00C143F6">
        <w:rPr>
          <w:rFonts w:ascii="Times New Roman" w:hAnsi="Times New Roman" w:cs="Times New Roman"/>
          <w:color w:val="FF0000"/>
          <w:sz w:val="24"/>
          <w:szCs w:val="24"/>
        </w:rPr>
        <w:t xml:space="preserve">KALEM </w:t>
      </w:r>
      <w:r w:rsidR="00691BBF">
        <w:rPr>
          <w:rFonts w:ascii="Times New Roman" w:hAnsi="Times New Roman" w:cs="Times New Roman"/>
          <w:color w:val="FF0000"/>
          <w:sz w:val="24"/>
          <w:szCs w:val="24"/>
        </w:rPr>
        <w:t>SET AVADANLIK</w:t>
      </w:r>
      <w:r w:rsidR="00BB529E">
        <w:rPr>
          <w:rFonts w:ascii="Times New Roman" w:hAnsi="Times New Roman" w:cs="Times New Roman"/>
          <w:color w:val="FF0000"/>
          <w:sz w:val="24"/>
          <w:szCs w:val="24"/>
        </w:rPr>
        <w:t xml:space="preserve"> MALZEMESİ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9843" w:type="dxa"/>
        <w:tblLook w:val="04A0" w:firstRow="1" w:lastRow="0" w:firstColumn="1" w:lastColumn="0" w:noHBand="0" w:noVBand="1"/>
      </w:tblPr>
      <w:tblGrid>
        <w:gridCol w:w="563"/>
        <w:gridCol w:w="922"/>
        <w:gridCol w:w="1883"/>
        <w:gridCol w:w="5104"/>
        <w:gridCol w:w="696"/>
        <w:gridCol w:w="655"/>
        <w:gridCol w:w="20"/>
      </w:tblGrid>
      <w:tr w:rsidR="007E15A7" w:rsidRPr="007E15A7" w:rsidTr="00341A4E">
        <w:trPr>
          <w:gridAfter w:val="1"/>
          <w:wAfter w:w="20" w:type="dxa"/>
          <w:trHeight w:val="915"/>
        </w:trPr>
        <w:tc>
          <w:tcPr>
            <w:tcW w:w="563" w:type="dxa"/>
            <w:vAlign w:val="center"/>
            <w:hideMark/>
          </w:tcPr>
          <w:p w:rsidR="007E15A7" w:rsidRPr="007E15A7" w:rsidRDefault="007E15A7" w:rsidP="007E15A7">
            <w:pPr>
              <w:pStyle w:val="BodyText31"/>
              <w:jc w:val="center"/>
              <w:rPr>
                <w:bCs/>
                <w:color w:val="auto"/>
                <w:u w:val="single"/>
              </w:rPr>
            </w:pPr>
            <w:r w:rsidRPr="007E15A7">
              <w:rPr>
                <w:bCs/>
                <w:color w:val="auto"/>
                <w:u w:val="single"/>
              </w:rPr>
              <w:t>S. NO</w:t>
            </w:r>
          </w:p>
        </w:tc>
        <w:tc>
          <w:tcPr>
            <w:tcW w:w="922" w:type="dxa"/>
            <w:vAlign w:val="center"/>
          </w:tcPr>
          <w:p w:rsidR="007E15A7" w:rsidRPr="007E15A7" w:rsidRDefault="007E15A7" w:rsidP="00341A4E">
            <w:pPr>
              <w:pStyle w:val="BodyText31"/>
              <w:jc w:val="center"/>
              <w:rPr>
                <w:bCs/>
                <w:color w:val="auto"/>
                <w:u w:val="single"/>
              </w:rPr>
            </w:pPr>
            <w:r>
              <w:rPr>
                <w:bCs/>
                <w:color w:val="auto"/>
                <w:u w:val="single"/>
              </w:rPr>
              <w:t>KISIM S.NO</w:t>
            </w:r>
          </w:p>
        </w:tc>
        <w:tc>
          <w:tcPr>
            <w:tcW w:w="1883" w:type="dxa"/>
            <w:noWrap/>
            <w:vAlign w:val="center"/>
            <w:hideMark/>
          </w:tcPr>
          <w:p w:rsidR="007E15A7" w:rsidRPr="007E15A7" w:rsidRDefault="007E15A7" w:rsidP="007E15A7">
            <w:pPr>
              <w:pStyle w:val="BodyText31"/>
              <w:jc w:val="center"/>
              <w:rPr>
                <w:bCs/>
                <w:color w:val="auto"/>
                <w:u w:val="single"/>
              </w:rPr>
            </w:pPr>
            <w:r w:rsidRPr="007E15A7">
              <w:rPr>
                <w:bCs/>
                <w:color w:val="auto"/>
                <w:u w:val="single"/>
              </w:rPr>
              <w:t>STOK NO</w:t>
            </w:r>
          </w:p>
        </w:tc>
        <w:tc>
          <w:tcPr>
            <w:tcW w:w="5104" w:type="dxa"/>
            <w:noWrap/>
            <w:vAlign w:val="center"/>
            <w:hideMark/>
          </w:tcPr>
          <w:p w:rsidR="007E15A7" w:rsidRPr="007E15A7" w:rsidRDefault="007E15A7" w:rsidP="007E15A7">
            <w:pPr>
              <w:pStyle w:val="BodyText31"/>
              <w:jc w:val="center"/>
              <w:rPr>
                <w:bCs/>
                <w:color w:val="auto"/>
                <w:u w:val="single"/>
              </w:rPr>
            </w:pPr>
            <w:r w:rsidRPr="007E15A7">
              <w:rPr>
                <w:bCs/>
                <w:color w:val="auto"/>
                <w:u w:val="single"/>
              </w:rPr>
              <w:t>MALZEMENİN CİNSİ</w:t>
            </w:r>
          </w:p>
        </w:tc>
        <w:tc>
          <w:tcPr>
            <w:tcW w:w="1351" w:type="dxa"/>
            <w:gridSpan w:val="2"/>
            <w:noWrap/>
            <w:vAlign w:val="center"/>
            <w:hideMark/>
          </w:tcPr>
          <w:p w:rsidR="007E15A7" w:rsidRPr="007E15A7" w:rsidRDefault="007E15A7" w:rsidP="007E15A7">
            <w:pPr>
              <w:pStyle w:val="BodyText31"/>
              <w:jc w:val="center"/>
              <w:rPr>
                <w:bCs/>
                <w:color w:val="auto"/>
                <w:u w:val="single"/>
              </w:rPr>
            </w:pPr>
            <w:r w:rsidRPr="007E15A7">
              <w:rPr>
                <w:bCs/>
                <w:color w:val="auto"/>
                <w:u w:val="single"/>
              </w:rPr>
              <w:t>MİKTARI</w:t>
            </w:r>
          </w:p>
        </w:tc>
      </w:tr>
      <w:tr w:rsidR="00950A69" w:rsidRPr="007E15A7" w:rsidTr="00950A69">
        <w:trPr>
          <w:gridAfter w:val="1"/>
          <w:wAfter w:w="20" w:type="dxa"/>
          <w:trHeight w:val="600"/>
        </w:trPr>
        <w:tc>
          <w:tcPr>
            <w:tcW w:w="563" w:type="dxa"/>
            <w:noWrap/>
            <w:vAlign w:val="center"/>
            <w:hideMark/>
          </w:tcPr>
          <w:p w:rsidR="00950A69" w:rsidRPr="007E15A7" w:rsidRDefault="00950A69" w:rsidP="00950A69">
            <w:pPr>
              <w:pStyle w:val="BodyText31"/>
              <w:jc w:val="center"/>
              <w:rPr>
                <w:color w:val="auto"/>
              </w:rPr>
            </w:pPr>
            <w:r w:rsidRPr="007E15A7">
              <w:rPr>
                <w:color w:val="auto"/>
              </w:rPr>
              <w:t>1</w:t>
            </w:r>
          </w:p>
        </w:tc>
        <w:tc>
          <w:tcPr>
            <w:tcW w:w="922" w:type="dxa"/>
            <w:vAlign w:val="center"/>
          </w:tcPr>
          <w:p w:rsidR="00950A69" w:rsidRPr="007E15A7" w:rsidRDefault="00950A69" w:rsidP="00950A69">
            <w:pPr>
              <w:pStyle w:val="BodyText31"/>
              <w:jc w:val="center"/>
              <w:rPr>
                <w:color w:val="auto"/>
              </w:rPr>
            </w:pPr>
            <w:r>
              <w:rPr>
                <w:color w:val="auto"/>
              </w:rPr>
              <w:t>1</w:t>
            </w:r>
          </w:p>
        </w:tc>
        <w:tc>
          <w:tcPr>
            <w:tcW w:w="1883" w:type="dxa"/>
            <w:noWrap/>
            <w:vAlign w:val="center"/>
            <w:hideMark/>
          </w:tcPr>
          <w:p w:rsidR="00950A69" w:rsidRPr="0053262A" w:rsidRDefault="00950A69" w:rsidP="00950A69">
            <w:pPr>
              <w:jc w:val="center"/>
            </w:pPr>
            <w:r w:rsidRPr="0053262A">
              <w:t>5120004736540</w:t>
            </w:r>
          </w:p>
        </w:tc>
        <w:tc>
          <w:tcPr>
            <w:tcW w:w="5104" w:type="dxa"/>
            <w:vAlign w:val="center"/>
            <w:hideMark/>
          </w:tcPr>
          <w:p w:rsidR="00950A69" w:rsidRPr="0053262A" w:rsidRDefault="00950A69" w:rsidP="00950A69">
            <w:r w:rsidRPr="0053262A">
              <w:t>BIJON ANAHTARI</w:t>
            </w:r>
          </w:p>
        </w:tc>
        <w:tc>
          <w:tcPr>
            <w:tcW w:w="696" w:type="dxa"/>
            <w:noWrap/>
            <w:vAlign w:val="center"/>
            <w:hideMark/>
          </w:tcPr>
          <w:p w:rsidR="00950A69" w:rsidRPr="0053262A" w:rsidRDefault="00950A69" w:rsidP="00950A69">
            <w:pPr>
              <w:jc w:val="center"/>
            </w:pPr>
            <w:r w:rsidRPr="0053262A">
              <w:t>15</w:t>
            </w:r>
          </w:p>
        </w:tc>
        <w:tc>
          <w:tcPr>
            <w:tcW w:w="655" w:type="dxa"/>
            <w:noWrap/>
            <w:vAlign w:val="center"/>
            <w:hideMark/>
          </w:tcPr>
          <w:p w:rsidR="00950A69" w:rsidRPr="0053262A" w:rsidRDefault="00950A69" w:rsidP="00950A69">
            <w:pPr>
              <w:jc w:val="center"/>
            </w:pPr>
            <w:r w:rsidRPr="0053262A">
              <w:t>AD</w:t>
            </w:r>
          </w:p>
        </w:tc>
      </w:tr>
      <w:tr w:rsidR="00950A69" w:rsidRPr="007E15A7" w:rsidTr="00950A69">
        <w:trPr>
          <w:gridAfter w:val="1"/>
          <w:wAfter w:w="20" w:type="dxa"/>
          <w:trHeight w:val="600"/>
        </w:trPr>
        <w:tc>
          <w:tcPr>
            <w:tcW w:w="563" w:type="dxa"/>
            <w:noWrap/>
            <w:vAlign w:val="center"/>
            <w:hideMark/>
          </w:tcPr>
          <w:p w:rsidR="00950A69" w:rsidRPr="007E15A7" w:rsidRDefault="00950A69" w:rsidP="00950A69">
            <w:pPr>
              <w:pStyle w:val="BodyText31"/>
              <w:jc w:val="center"/>
              <w:rPr>
                <w:color w:val="auto"/>
              </w:rPr>
            </w:pPr>
            <w:r w:rsidRPr="007E15A7">
              <w:rPr>
                <w:color w:val="auto"/>
              </w:rPr>
              <w:t>2</w:t>
            </w:r>
          </w:p>
        </w:tc>
        <w:tc>
          <w:tcPr>
            <w:tcW w:w="922" w:type="dxa"/>
            <w:vAlign w:val="center"/>
          </w:tcPr>
          <w:p w:rsidR="00950A69" w:rsidRPr="007E15A7" w:rsidRDefault="00950A69" w:rsidP="00950A69">
            <w:pPr>
              <w:pStyle w:val="BodyText31"/>
              <w:jc w:val="center"/>
              <w:rPr>
                <w:color w:val="auto"/>
              </w:rPr>
            </w:pPr>
            <w:r>
              <w:rPr>
                <w:color w:val="auto"/>
              </w:rPr>
              <w:t>2</w:t>
            </w:r>
          </w:p>
        </w:tc>
        <w:tc>
          <w:tcPr>
            <w:tcW w:w="1883" w:type="dxa"/>
            <w:noWrap/>
            <w:vAlign w:val="center"/>
            <w:hideMark/>
          </w:tcPr>
          <w:p w:rsidR="00950A69" w:rsidRPr="0053262A" w:rsidRDefault="00950A69" w:rsidP="00950A69">
            <w:pPr>
              <w:jc w:val="center"/>
            </w:pPr>
            <w:r w:rsidRPr="0053262A">
              <w:t>5120270007719</w:t>
            </w:r>
          </w:p>
        </w:tc>
        <w:tc>
          <w:tcPr>
            <w:tcW w:w="5104" w:type="dxa"/>
            <w:vAlign w:val="center"/>
            <w:hideMark/>
          </w:tcPr>
          <w:p w:rsidR="00950A69" w:rsidRPr="0053262A" w:rsidRDefault="00950A69" w:rsidP="00950A69">
            <w:r w:rsidRPr="0053262A">
              <w:t>‌ANAHTAR, KURBAĞACIK, 18"</w:t>
            </w:r>
          </w:p>
        </w:tc>
        <w:tc>
          <w:tcPr>
            <w:tcW w:w="696" w:type="dxa"/>
            <w:noWrap/>
            <w:vAlign w:val="center"/>
            <w:hideMark/>
          </w:tcPr>
          <w:p w:rsidR="00950A69" w:rsidRPr="0053262A" w:rsidRDefault="00950A69" w:rsidP="00950A69">
            <w:pPr>
              <w:jc w:val="center"/>
            </w:pPr>
            <w:r w:rsidRPr="0053262A">
              <w:t>10</w:t>
            </w:r>
          </w:p>
        </w:tc>
        <w:tc>
          <w:tcPr>
            <w:tcW w:w="655" w:type="dxa"/>
            <w:noWrap/>
            <w:vAlign w:val="center"/>
            <w:hideMark/>
          </w:tcPr>
          <w:p w:rsidR="00950A69" w:rsidRPr="0053262A" w:rsidRDefault="00950A69" w:rsidP="00950A69">
            <w:pPr>
              <w:jc w:val="center"/>
            </w:pPr>
            <w:r w:rsidRPr="0053262A">
              <w:t>AD</w:t>
            </w:r>
          </w:p>
        </w:tc>
      </w:tr>
      <w:tr w:rsidR="00950A69" w:rsidRPr="007E15A7" w:rsidTr="00950A69">
        <w:trPr>
          <w:gridAfter w:val="1"/>
          <w:wAfter w:w="20" w:type="dxa"/>
          <w:trHeight w:val="600"/>
        </w:trPr>
        <w:tc>
          <w:tcPr>
            <w:tcW w:w="563" w:type="dxa"/>
            <w:noWrap/>
            <w:vAlign w:val="center"/>
            <w:hideMark/>
          </w:tcPr>
          <w:p w:rsidR="00950A69" w:rsidRPr="007E15A7" w:rsidRDefault="00950A69" w:rsidP="00950A69">
            <w:pPr>
              <w:pStyle w:val="BodyText31"/>
              <w:jc w:val="center"/>
              <w:rPr>
                <w:color w:val="auto"/>
              </w:rPr>
            </w:pPr>
            <w:r w:rsidRPr="007E15A7">
              <w:rPr>
                <w:color w:val="auto"/>
              </w:rPr>
              <w:t>3</w:t>
            </w:r>
          </w:p>
        </w:tc>
        <w:tc>
          <w:tcPr>
            <w:tcW w:w="922" w:type="dxa"/>
            <w:vAlign w:val="center"/>
          </w:tcPr>
          <w:p w:rsidR="00950A69" w:rsidRPr="007E15A7" w:rsidRDefault="00950A69" w:rsidP="00950A69">
            <w:pPr>
              <w:pStyle w:val="BodyText31"/>
              <w:jc w:val="center"/>
              <w:rPr>
                <w:color w:val="auto"/>
              </w:rPr>
            </w:pPr>
            <w:r>
              <w:rPr>
                <w:color w:val="auto"/>
              </w:rPr>
              <w:t>3</w:t>
            </w:r>
          </w:p>
        </w:tc>
        <w:tc>
          <w:tcPr>
            <w:tcW w:w="1883" w:type="dxa"/>
            <w:noWrap/>
            <w:vAlign w:val="center"/>
            <w:hideMark/>
          </w:tcPr>
          <w:p w:rsidR="00950A69" w:rsidRPr="0053262A" w:rsidRDefault="00950A69" w:rsidP="00950A69">
            <w:pPr>
              <w:jc w:val="center"/>
            </w:pPr>
            <w:r w:rsidRPr="0053262A">
              <w:t>5120270057202</w:t>
            </w:r>
          </w:p>
        </w:tc>
        <w:tc>
          <w:tcPr>
            <w:tcW w:w="5104" w:type="dxa"/>
            <w:vAlign w:val="center"/>
            <w:hideMark/>
          </w:tcPr>
          <w:p w:rsidR="00950A69" w:rsidRPr="0053262A" w:rsidRDefault="00950A69" w:rsidP="00950A69">
            <w:r w:rsidRPr="0053262A">
              <w:t>‌TORNAVIDA (149/5)</w:t>
            </w:r>
          </w:p>
        </w:tc>
        <w:tc>
          <w:tcPr>
            <w:tcW w:w="696" w:type="dxa"/>
            <w:noWrap/>
            <w:vAlign w:val="center"/>
            <w:hideMark/>
          </w:tcPr>
          <w:p w:rsidR="00950A69" w:rsidRPr="0053262A" w:rsidRDefault="00950A69" w:rsidP="00950A69">
            <w:pPr>
              <w:jc w:val="center"/>
            </w:pPr>
            <w:r w:rsidRPr="0053262A">
              <w:t>24</w:t>
            </w:r>
          </w:p>
        </w:tc>
        <w:tc>
          <w:tcPr>
            <w:tcW w:w="655" w:type="dxa"/>
            <w:noWrap/>
            <w:vAlign w:val="center"/>
            <w:hideMark/>
          </w:tcPr>
          <w:p w:rsidR="00950A69" w:rsidRPr="0053262A" w:rsidRDefault="00950A69" w:rsidP="00950A69">
            <w:pPr>
              <w:jc w:val="center"/>
            </w:pPr>
            <w:r w:rsidRPr="0053262A">
              <w:t>AD</w:t>
            </w:r>
          </w:p>
        </w:tc>
      </w:tr>
      <w:tr w:rsidR="00950A69" w:rsidRPr="007E15A7" w:rsidTr="00950A69">
        <w:trPr>
          <w:gridAfter w:val="1"/>
          <w:wAfter w:w="20" w:type="dxa"/>
          <w:trHeight w:val="600"/>
        </w:trPr>
        <w:tc>
          <w:tcPr>
            <w:tcW w:w="563" w:type="dxa"/>
            <w:noWrap/>
            <w:vAlign w:val="center"/>
            <w:hideMark/>
          </w:tcPr>
          <w:p w:rsidR="00950A69" w:rsidRPr="007E15A7" w:rsidRDefault="00950A69" w:rsidP="00950A69">
            <w:pPr>
              <w:pStyle w:val="BodyText31"/>
              <w:jc w:val="center"/>
              <w:rPr>
                <w:color w:val="auto"/>
              </w:rPr>
            </w:pPr>
            <w:r w:rsidRPr="007E15A7">
              <w:rPr>
                <w:color w:val="auto"/>
              </w:rPr>
              <w:t>4</w:t>
            </w:r>
          </w:p>
        </w:tc>
        <w:tc>
          <w:tcPr>
            <w:tcW w:w="922" w:type="dxa"/>
            <w:vAlign w:val="center"/>
          </w:tcPr>
          <w:p w:rsidR="00950A69" w:rsidRPr="007E15A7" w:rsidRDefault="00950A69" w:rsidP="00950A69">
            <w:pPr>
              <w:pStyle w:val="BodyText31"/>
              <w:jc w:val="center"/>
              <w:rPr>
                <w:color w:val="auto"/>
              </w:rPr>
            </w:pPr>
            <w:r>
              <w:rPr>
                <w:color w:val="auto"/>
              </w:rPr>
              <w:t>4</w:t>
            </w:r>
          </w:p>
        </w:tc>
        <w:tc>
          <w:tcPr>
            <w:tcW w:w="1883" w:type="dxa"/>
            <w:noWrap/>
            <w:vAlign w:val="center"/>
            <w:hideMark/>
          </w:tcPr>
          <w:p w:rsidR="00950A69" w:rsidRPr="0053262A" w:rsidRDefault="00950A69" w:rsidP="00950A69">
            <w:pPr>
              <w:jc w:val="center"/>
            </w:pPr>
            <w:r w:rsidRPr="0053262A">
              <w:t>5210270062618</w:t>
            </w:r>
          </w:p>
        </w:tc>
        <w:tc>
          <w:tcPr>
            <w:tcW w:w="5104" w:type="dxa"/>
            <w:vAlign w:val="center"/>
            <w:hideMark/>
          </w:tcPr>
          <w:p w:rsidR="00950A69" w:rsidRPr="0053262A" w:rsidRDefault="00950A69" w:rsidP="00950A69">
            <w:r w:rsidRPr="0053262A">
              <w:t>‌0-150 DİJİTAL KUMPAS</w:t>
            </w:r>
          </w:p>
        </w:tc>
        <w:tc>
          <w:tcPr>
            <w:tcW w:w="696" w:type="dxa"/>
            <w:noWrap/>
            <w:vAlign w:val="center"/>
            <w:hideMark/>
          </w:tcPr>
          <w:p w:rsidR="00950A69" w:rsidRPr="0053262A" w:rsidRDefault="00950A69" w:rsidP="00950A69">
            <w:pPr>
              <w:jc w:val="center"/>
            </w:pPr>
            <w:r w:rsidRPr="0053262A">
              <w:t>12</w:t>
            </w:r>
          </w:p>
        </w:tc>
        <w:tc>
          <w:tcPr>
            <w:tcW w:w="655" w:type="dxa"/>
            <w:noWrap/>
            <w:vAlign w:val="center"/>
            <w:hideMark/>
          </w:tcPr>
          <w:p w:rsidR="00950A69" w:rsidRDefault="00950A69" w:rsidP="00950A69">
            <w:pPr>
              <w:jc w:val="center"/>
            </w:pPr>
            <w:r w:rsidRPr="0053262A">
              <w:t>AD</w:t>
            </w:r>
          </w:p>
        </w:tc>
      </w:tr>
      <w:tr w:rsidR="007E15A7" w:rsidRPr="007E15A7" w:rsidTr="007E15A7">
        <w:trPr>
          <w:trHeight w:val="600"/>
        </w:trPr>
        <w:tc>
          <w:tcPr>
            <w:tcW w:w="9843" w:type="dxa"/>
            <w:gridSpan w:val="7"/>
            <w:vAlign w:val="center"/>
          </w:tcPr>
          <w:p w:rsidR="007E15A7" w:rsidRPr="007E15A7" w:rsidRDefault="007E15A7" w:rsidP="00950A69">
            <w:pPr>
              <w:pStyle w:val="BodyText31"/>
              <w:jc w:val="center"/>
              <w:rPr>
                <w:color w:val="auto"/>
              </w:rPr>
            </w:pPr>
            <w:r>
              <w:rPr>
                <w:color w:val="auto"/>
              </w:rPr>
              <w:t xml:space="preserve">/////////////////////// YALNIZ </w:t>
            </w:r>
            <w:r w:rsidR="00950A69">
              <w:rPr>
                <w:color w:val="auto"/>
              </w:rPr>
              <w:t>DÖRT</w:t>
            </w:r>
            <w:r>
              <w:rPr>
                <w:color w:val="auto"/>
              </w:rPr>
              <w:t xml:space="preserve"> (4)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950A69" w:rsidRDefault="00950A69" w:rsidP="00B16E7C">
      <w:pPr>
        <w:spacing w:before="120"/>
        <w:jc w:val="both"/>
        <w:rPr>
          <w:b/>
          <w:bCs/>
          <w:color w:val="auto"/>
        </w:rPr>
      </w:pPr>
    </w:p>
    <w:p w:rsidR="00950A69" w:rsidRDefault="00950A69"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50A69">
        <w:rPr>
          <w:b/>
          <w:color w:val="FF0000"/>
        </w:rPr>
        <w:t>6</w:t>
      </w:r>
      <w:r w:rsidR="00F00E69">
        <w:rPr>
          <w:b/>
          <w:color w:val="FF0000"/>
        </w:rPr>
        <w:t>0</w:t>
      </w:r>
      <w:r w:rsidR="00BA5EA7" w:rsidRPr="007A4FB9">
        <w:rPr>
          <w:b/>
          <w:color w:val="FF0000"/>
        </w:rPr>
        <w:t xml:space="preserve"> </w:t>
      </w:r>
      <w:r w:rsidR="00AC4ADC" w:rsidRPr="007A4FB9">
        <w:rPr>
          <w:b/>
          <w:color w:val="FF0000"/>
        </w:rPr>
        <w:t>(</w:t>
      </w:r>
      <w:r w:rsidR="00950A69">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w:t>
      </w:r>
      <w:r w:rsidRPr="00AD3764">
        <w:rPr>
          <w:rFonts w:ascii="Times New Roman" w:hAnsi="Times New Roman"/>
          <w:szCs w:val="24"/>
        </w:rPr>
        <w:lastRenderedPageBreak/>
        <w:t>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w:t>
      </w:r>
      <w:r w:rsidR="007E15A7">
        <w:rPr>
          <w:rFonts w:ascii="Times New Roman" w:hAnsi="Times New Roman"/>
          <w:color w:val="FF0000"/>
          <w:szCs w:val="24"/>
        </w:rPr>
        <w:t xml:space="preserve"> </w:t>
      </w:r>
      <w:r>
        <w:rPr>
          <w:rFonts w:ascii="Times New Roman" w:hAnsi="Times New Roman"/>
          <w:color w:val="FF0000"/>
          <w:szCs w:val="24"/>
        </w:rPr>
        <w:t>(tamamen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5631D7" w:rsidRPr="005631D7">
        <w:rPr>
          <w:color w:val="FF0000"/>
        </w:rPr>
        <w:t>M0809-AFH72İB11/02 "Birlik İdame-İşletme/ibid"</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lastRenderedPageBreak/>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lastRenderedPageBreak/>
        <w:t>16.2.3.</w:t>
      </w:r>
      <w:r w:rsidRPr="00667EAC">
        <w:rPr>
          <w:color w:val="auto"/>
        </w:rPr>
        <w:t xml:space="preserve"> Yüklen</w:t>
      </w:r>
      <w:bookmarkStart w:id="0" w:name="_GoBack"/>
      <w:bookmarkEnd w:id="0"/>
      <w:r w:rsidRPr="00667EAC">
        <w:rPr>
          <w:color w:val="auto"/>
        </w:rPr>
        <w:t xml:space="preserve">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w:t>
      </w:r>
      <w:r w:rsidRPr="00667EAC">
        <w:rPr>
          <w:color w:val="auto"/>
        </w:rPr>
        <w:lastRenderedPageBreak/>
        <w:t xml:space="preserve">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lastRenderedPageBreak/>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lastRenderedPageBreak/>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lastRenderedPageBreak/>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lastRenderedPageBreak/>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lastRenderedPageBreak/>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w:t>
      </w:r>
      <w:r w:rsidR="00FF5B9E">
        <w:rPr>
          <w:b/>
          <w:bCs/>
          <w:color w:val="FF0000"/>
        </w:rPr>
        <w:t xml:space="preserve"> </w:t>
      </w:r>
      <w:r w:rsidRPr="004F676E">
        <w:rPr>
          <w:b/>
          <w:bCs/>
          <w:color w:val="FF0000"/>
        </w:rPr>
        <w:t>İşin normal teslim süresi içerisinde hiç mal getirilmemiş olması durumunda, bu sözleşmenin 34'üncü maddesinde belirtilen ihtarlı süre verilerek bu süre içinde de iki defaya mahsus</w:t>
      </w:r>
      <w:r w:rsidR="00FF5B9E">
        <w:rPr>
          <w:b/>
          <w:bCs/>
          <w:color w:val="FF0000"/>
        </w:rPr>
        <w:t xml:space="preserve"> </w:t>
      </w:r>
      <w:r w:rsidRPr="004F676E">
        <w:rPr>
          <w:b/>
          <w:bCs/>
          <w:color w:val="FF0000"/>
        </w:rPr>
        <w:t>( ihtarlı sürede 1 defa ilk teslim 1 defada redde karşılık getirme hakkı verilir ) olmak üzere getirilecek mallar teslim alınarak muayeneleri yapılır.</w:t>
      </w:r>
      <w:r w:rsidR="00FF5B9E">
        <w:rPr>
          <w:b/>
          <w:bCs/>
          <w:color w:val="FF0000"/>
        </w:rPr>
        <w:t xml:space="preserve"> </w:t>
      </w:r>
      <w:r w:rsidRPr="004F676E">
        <w:rPr>
          <w:b/>
          <w:bCs/>
          <w:color w:val="FF0000"/>
        </w:rPr>
        <w:t>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w:t>
      </w:r>
      <w:r w:rsidRPr="003F4E56">
        <w:rPr>
          <w:b/>
          <w:bCs/>
          <w:color w:val="auto"/>
        </w:rPr>
        <w:lastRenderedPageBreak/>
        <w:t xml:space="preserve">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lastRenderedPageBreak/>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lastRenderedPageBreak/>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30.1.11.2. Fiziksel itiraz muayenesi</w:t>
      </w:r>
      <w:r w:rsidR="00FF5B9E">
        <w:rPr>
          <w:b/>
          <w:bCs/>
          <w:color w:val="auto"/>
        </w:rPr>
        <w:t xml:space="preserve">; </w:t>
      </w:r>
      <w:r w:rsidRPr="003F4E56">
        <w:rPr>
          <w:b/>
          <w:bCs/>
          <w:color w:val="auto"/>
        </w:rPr>
        <w:t xml:space="preserve">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lastRenderedPageBreak/>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w:t>
      </w:r>
      <w:r w:rsidRPr="003F4E56">
        <w:rPr>
          <w:b/>
          <w:bCs/>
          <w:color w:val="auto"/>
        </w:rPr>
        <w:lastRenderedPageBreak/>
        <w:t xml:space="preserve">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FF5B9E" w:rsidRDefault="00FF5B9E"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lastRenderedPageBreak/>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r w:rsidR="000A6E97">
        <w:rPr>
          <w:b/>
          <w:bCs/>
          <w:color w:val="auto"/>
        </w:rPr>
        <w:t xml:space="preserve">. </w:t>
      </w:r>
    </w:p>
    <w:p w:rsidR="000A6E97" w:rsidRDefault="000A6E97" w:rsidP="000A6E97">
      <w:pPr>
        <w:tabs>
          <w:tab w:val="left" w:pos="851"/>
          <w:tab w:val="left" w:pos="1418"/>
          <w:tab w:val="left" w:pos="1701"/>
          <w:tab w:val="center" w:pos="4536"/>
        </w:tabs>
        <w:jc w:val="both"/>
        <w:rPr>
          <w:b/>
          <w:bCs/>
          <w:sz w:val="22"/>
          <w:szCs w:val="22"/>
        </w:rPr>
      </w:pP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r>
      <w:r w:rsidRPr="00231418">
        <w:rPr>
          <w:b/>
          <w:bCs/>
          <w:sz w:val="22"/>
          <w:szCs w:val="22"/>
        </w:rPr>
        <w:lastRenderedPageBreak/>
        <w:t>30.1.1</w:t>
      </w:r>
      <w:r>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0A6E97" w:rsidRPr="003F4E56" w:rsidRDefault="000A6E97" w:rsidP="000A6E97">
      <w:pPr>
        <w:spacing w:before="120"/>
        <w:jc w:val="both"/>
        <w:rPr>
          <w:b/>
          <w:bCs/>
          <w:color w:val="auto"/>
        </w:rPr>
      </w:pPr>
      <w:r w:rsidRPr="00231418">
        <w:rPr>
          <w:b/>
          <w:bCs/>
          <w:sz w:val="22"/>
          <w:szCs w:val="22"/>
        </w:rPr>
        <w:t>30.1.1</w:t>
      </w:r>
      <w:r>
        <w:rPr>
          <w:b/>
          <w:bCs/>
          <w:sz w:val="22"/>
          <w:szCs w:val="22"/>
        </w:rPr>
        <w:t>8</w:t>
      </w:r>
      <w:r w:rsidRPr="00231418">
        <w:rPr>
          <w:b/>
          <w:bCs/>
          <w:sz w:val="22"/>
          <w:szCs w:val="22"/>
        </w:rPr>
        <w:t>.6. İstekliler tarafından sözleşme imzalanmadan ve yüklenici tarafından sözleşme imzalandıktan sonra alım yapılacak malzemelere ait örnek malzeme 56’ncı Bkm.Fb.Md.lüğünden yazılı olarak talep edilecek, envanterde varsa, örnek malzeme deposunda yerinde görülebilecek, incelenebilecek ancak, malzemenin yüklenici veya isteklilere teslimi yapılamayacaktır. Örnek malzemenin envanterde olmaması veya alım, muayene esnasında örnek malzeme ile teslim edilen mal/mallar arasında doğabilecek farklılıklar ve bunun gibi durumlar için yüklenici herhangi bir hak talebinde bulunamaz.</w:t>
      </w:r>
    </w:p>
    <w:p w:rsidR="003F4E56" w:rsidRPr="003F4E56" w:rsidRDefault="003F4E56" w:rsidP="003F4E56">
      <w:pPr>
        <w:spacing w:before="120"/>
        <w:jc w:val="both"/>
        <w:rPr>
          <w:b/>
          <w:bCs/>
          <w:color w:val="auto"/>
        </w:rPr>
      </w:pPr>
      <w:r w:rsidRPr="003F4E56">
        <w:rPr>
          <w:b/>
          <w:bCs/>
          <w:color w:val="auto"/>
        </w:rPr>
        <w:t>30.1.</w:t>
      </w:r>
      <w:r w:rsidR="000A6E97">
        <w:rPr>
          <w:b/>
          <w:bCs/>
          <w:color w:val="auto"/>
        </w:rPr>
        <w:t>19</w:t>
      </w:r>
      <w:r w:rsidRPr="003F4E56">
        <w:rPr>
          <w:b/>
          <w:bCs/>
          <w:color w:val="auto"/>
        </w:rPr>
        <w:t xml:space="preserve">.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0A6E97">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lastRenderedPageBreak/>
        <w:t>31.4.</w:t>
      </w:r>
      <w:r w:rsidRPr="00667EAC">
        <w:rPr>
          <w:color w:val="auto"/>
        </w:rPr>
        <w:t xml:space="preserve"> Bu madde boş bırakılmıştır. </w:t>
      </w:r>
    </w:p>
    <w:p w:rsidR="000A6E97" w:rsidRPr="00667EAC" w:rsidRDefault="000A6E97"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lastRenderedPageBreak/>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lastRenderedPageBreak/>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FF5B9E" w:rsidRDefault="00FF5B9E" w:rsidP="000F4CA2">
      <w:pPr>
        <w:jc w:val="both"/>
        <w:rPr>
          <w:b/>
          <w:bCs/>
          <w:color w:val="auto"/>
        </w:rPr>
      </w:pP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lastRenderedPageBreak/>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FF5B9E" w:rsidRDefault="00FF5B9E" w:rsidP="00B16E7C">
      <w:pPr>
        <w:jc w:val="both"/>
        <w:rPr>
          <w:b/>
          <w:bCs/>
          <w:color w:val="auto"/>
        </w:rPr>
      </w:pP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FF5B9E" w:rsidRPr="00231418" w:rsidRDefault="00FF5B9E" w:rsidP="00FF5B9E">
      <w:pPr>
        <w:tabs>
          <w:tab w:val="left" w:pos="567"/>
          <w:tab w:val="left" w:pos="993"/>
        </w:tabs>
        <w:jc w:val="both"/>
        <w:rPr>
          <w:sz w:val="22"/>
          <w:szCs w:val="22"/>
        </w:rPr>
      </w:pPr>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FF5B9E" w:rsidRDefault="00FF5B9E" w:rsidP="00FF5B9E">
      <w:pPr>
        <w:tabs>
          <w:tab w:val="left" w:pos="300"/>
          <w:tab w:val="left" w:pos="567"/>
          <w:tab w:val="left" w:pos="993"/>
        </w:tabs>
        <w:jc w:val="both"/>
        <w:rPr>
          <w:b/>
          <w:sz w:val="22"/>
          <w:szCs w:val="22"/>
        </w:rPr>
      </w:pPr>
    </w:p>
    <w:p w:rsidR="00FF5B9E" w:rsidRPr="00231418" w:rsidRDefault="00FF5B9E" w:rsidP="00FF5B9E">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FF5B9E" w:rsidRDefault="00FF5B9E" w:rsidP="00FF5B9E">
      <w:pPr>
        <w:tabs>
          <w:tab w:val="left" w:pos="300"/>
          <w:tab w:val="left" w:pos="567"/>
          <w:tab w:val="left" w:pos="993"/>
        </w:tabs>
        <w:jc w:val="both"/>
        <w:rPr>
          <w:b/>
          <w:sz w:val="22"/>
          <w:szCs w:val="22"/>
        </w:rPr>
      </w:pPr>
    </w:p>
    <w:p w:rsidR="00FF5B9E" w:rsidRPr="00231418" w:rsidRDefault="00FF5B9E" w:rsidP="00FF5B9E">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FF5B9E" w:rsidRDefault="00FF5B9E" w:rsidP="00FF5B9E">
      <w:pPr>
        <w:tabs>
          <w:tab w:val="left" w:pos="300"/>
          <w:tab w:val="left" w:pos="567"/>
          <w:tab w:val="left" w:pos="993"/>
        </w:tabs>
        <w:spacing w:after="80"/>
        <w:jc w:val="both"/>
        <w:rPr>
          <w:b/>
          <w:sz w:val="22"/>
          <w:szCs w:val="22"/>
        </w:rPr>
      </w:pPr>
    </w:p>
    <w:p w:rsidR="00FF5B9E" w:rsidRPr="00231418" w:rsidRDefault="00FF5B9E" w:rsidP="00FF5B9E">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w:t>
      </w:r>
      <w:r w:rsidRPr="00231418">
        <w:rPr>
          <w:sz w:val="22"/>
          <w:szCs w:val="22"/>
        </w:rPr>
        <w:lastRenderedPageBreak/>
        <w:t xml:space="preserve">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FF5B9E" w:rsidRPr="00231418" w:rsidRDefault="00FF5B9E" w:rsidP="00FF5B9E">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FF5B9E" w:rsidRDefault="00FF5B9E" w:rsidP="00FF5B9E">
      <w:pPr>
        <w:tabs>
          <w:tab w:val="left" w:pos="300"/>
          <w:tab w:val="left" w:pos="567"/>
          <w:tab w:val="left" w:pos="993"/>
        </w:tabs>
        <w:jc w:val="both"/>
        <w:rPr>
          <w:b/>
          <w:sz w:val="22"/>
          <w:szCs w:val="22"/>
        </w:rPr>
      </w:pPr>
    </w:p>
    <w:p w:rsidR="00FF5B9E" w:rsidRPr="00231418" w:rsidRDefault="00FF5B9E" w:rsidP="00FF5B9E">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FF5B9E" w:rsidRDefault="00FF5B9E" w:rsidP="00FF5B9E">
      <w:pPr>
        <w:pStyle w:val="GvdeMetni3"/>
        <w:tabs>
          <w:tab w:val="left" w:pos="300"/>
          <w:tab w:val="left" w:pos="567"/>
          <w:tab w:val="left" w:pos="993"/>
        </w:tabs>
        <w:spacing w:after="0"/>
        <w:jc w:val="both"/>
        <w:rPr>
          <w:b/>
          <w:sz w:val="22"/>
          <w:szCs w:val="22"/>
        </w:rPr>
      </w:pPr>
    </w:p>
    <w:p w:rsidR="00FF5B9E" w:rsidRPr="00231418" w:rsidRDefault="00FF5B9E" w:rsidP="00FF5B9E">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FF5B9E" w:rsidRDefault="00FF5B9E" w:rsidP="00FF5B9E">
      <w:pPr>
        <w:pStyle w:val="GvdeMetni"/>
        <w:tabs>
          <w:tab w:val="left" w:pos="300"/>
          <w:tab w:val="left" w:pos="567"/>
          <w:tab w:val="left" w:pos="709"/>
          <w:tab w:val="left" w:pos="993"/>
        </w:tabs>
        <w:rPr>
          <w:b w:val="0"/>
          <w:bCs w:val="0"/>
          <w:sz w:val="22"/>
          <w:szCs w:val="22"/>
        </w:rPr>
      </w:pPr>
    </w:p>
    <w:p w:rsidR="00FF5B9E" w:rsidRPr="004503C2" w:rsidRDefault="00FF5B9E" w:rsidP="00FF5B9E">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FF5B9E" w:rsidRDefault="00FF5B9E" w:rsidP="00FF5B9E">
      <w:pPr>
        <w:tabs>
          <w:tab w:val="left" w:pos="567"/>
          <w:tab w:val="left" w:pos="709"/>
          <w:tab w:val="left" w:pos="993"/>
        </w:tabs>
        <w:rPr>
          <w:b/>
          <w:bCs/>
          <w:sz w:val="22"/>
          <w:szCs w:val="22"/>
        </w:rPr>
      </w:pPr>
    </w:p>
    <w:p w:rsidR="00FF5B9E" w:rsidRDefault="00FF5B9E" w:rsidP="00FF5B9E">
      <w:pPr>
        <w:jc w:val="both"/>
        <w:rPr>
          <w:iCs/>
          <w:sz w:val="22"/>
          <w:szCs w:val="22"/>
          <w:lang w:eastAsia="en-US"/>
        </w:rPr>
      </w:pPr>
      <w:r w:rsidRPr="00231418">
        <w:rPr>
          <w:b/>
          <w:bCs/>
          <w:sz w:val="22"/>
          <w:szCs w:val="22"/>
        </w:rPr>
        <w:t>44.2. Kataloglandırma:</w:t>
      </w:r>
      <w:r w:rsidRPr="00231418">
        <w:rPr>
          <w:bCs/>
          <w:sz w:val="22"/>
          <w:szCs w:val="22"/>
        </w:rPr>
        <w:t xml:space="preserve"> </w:t>
      </w:r>
      <w:r w:rsidRPr="00231418">
        <w:rPr>
          <w:iCs/>
          <w:sz w:val="22"/>
          <w:szCs w:val="22"/>
          <w:lang w:eastAsia="en-US"/>
        </w:rPr>
        <w:t>Bu Madde Boş Bırakılmıştır.</w:t>
      </w:r>
    </w:p>
    <w:p w:rsidR="00FF5B9E" w:rsidRDefault="00FF5B9E" w:rsidP="00FF5B9E">
      <w:pPr>
        <w:jc w:val="both"/>
        <w:rPr>
          <w:iCs/>
          <w:sz w:val="22"/>
          <w:szCs w:val="22"/>
          <w:lang w:eastAsia="en-US"/>
        </w:rPr>
      </w:pPr>
    </w:p>
    <w:p w:rsidR="00B01077" w:rsidRPr="00B01077" w:rsidRDefault="00B01077" w:rsidP="00FF5B9E">
      <w:pPr>
        <w:jc w:val="both"/>
        <w:rPr>
          <w:rFonts w:eastAsia="Times New Roman"/>
          <w:b/>
          <w:color w:val="auto"/>
        </w:rPr>
      </w:pPr>
      <w:r w:rsidRPr="00B01077">
        <w:rPr>
          <w:rFonts w:eastAsia="Times New Roman"/>
          <w:b/>
          <w:color w:val="auto"/>
        </w:rPr>
        <w:t>44.</w:t>
      </w:r>
      <w:r w:rsidR="00FF5B9E">
        <w:rPr>
          <w:rFonts w:eastAsia="Times New Roman"/>
          <w:b/>
          <w:color w:val="auto"/>
        </w:rPr>
        <w:t>3</w:t>
      </w:r>
      <w:r w:rsidRPr="00B01077">
        <w:rPr>
          <w:rFonts w:eastAsia="Times New Roman"/>
          <w:b/>
          <w:color w:val="auto"/>
        </w:rPr>
        <w:t xml:space="preserve">. </w:t>
      </w: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w:t>
      </w:r>
      <w:r w:rsidRPr="0078577C">
        <w:rPr>
          <w:rFonts w:eastAsia="Times New Roman"/>
          <w:b/>
          <w:color w:val="auto"/>
        </w:rPr>
        <w:lastRenderedPageBreak/>
        <w:t xml:space="preserve">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4</w:t>
      </w:r>
      <w:r w:rsidRPr="00B01077">
        <w:rPr>
          <w:rFonts w:eastAsia="Times New Roman"/>
          <w:b/>
          <w:color w:val="auto"/>
        </w:rPr>
        <w:t>.3. 56’ncı Bkm.Fb.Md.lüğünce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7</w:t>
      </w:r>
      <w:r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w:t>
      </w:r>
      <w:r w:rsidRPr="00B01077">
        <w:rPr>
          <w:rFonts w:eastAsia="Times New Roman"/>
          <w:b/>
          <w:color w:val="auto"/>
        </w:rPr>
        <w:lastRenderedPageBreak/>
        <w:t xml:space="preserve">makamların yazılı talepleri üzerine, 56’ncı Bkm.Fb.Md.lüğü’nün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lastRenderedPageBreak/>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FF5B9E">
        <w:rPr>
          <w:rFonts w:eastAsia="Times New Roman"/>
          <w:b/>
          <w:color w:val="auto"/>
        </w:rPr>
        <w:t>11</w:t>
      </w:r>
      <w:r w:rsidRPr="00B01077">
        <w:rPr>
          <w:rFonts w:eastAsia="Times New Roman"/>
          <w:b/>
          <w:color w:val="auto"/>
        </w:rPr>
        <w:t>. Alım Dokümanları arasında fark olduğunda idarede hazırlanan doküman esas alınacaktır.</w:t>
      </w:r>
    </w:p>
    <w:p w:rsidR="00B46CE1" w:rsidRDefault="00B46CE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FF5B9E">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FF5B9E">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FF5B9E">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B46CE1" w:rsidRDefault="00B46CE1" w:rsidP="00B01077">
      <w:pPr>
        <w:jc w:val="both"/>
        <w:rPr>
          <w:rFonts w:eastAsia="Times New Roman"/>
          <w:b/>
          <w:color w:val="auto"/>
        </w:rPr>
      </w:pPr>
    </w:p>
    <w:p w:rsidR="003745BD" w:rsidRDefault="003745BD" w:rsidP="00B01077">
      <w:pPr>
        <w:jc w:val="both"/>
        <w:rPr>
          <w:rFonts w:eastAsia="Times New Roman"/>
          <w:b/>
          <w:color w:val="auto"/>
        </w:rPr>
      </w:pPr>
      <w:r>
        <w:rPr>
          <w:rFonts w:eastAsia="Times New Roman"/>
          <w:b/>
          <w:color w:val="auto"/>
        </w:rPr>
        <w:t>44.1</w:t>
      </w:r>
      <w:r w:rsidR="00FF5B9E">
        <w:rPr>
          <w:rFonts w:eastAsia="Times New Roman"/>
          <w:b/>
          <w:color w:val="auto"/>
        </w:rPr>
        <w:t>5</w:t>
      </w:r>
      <w:r>
        <w:rPr>
          <w:rFonts w:eastAsia="Times New Roman"/>
          <w:b/>
          <w:color w:val="auto"/>
        </w:rPr>
        <w:t>.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A7" w:rsidRDefault="007E15A7" w:rsidP="00D67065">
      <w:r>
        <w:separator/>
      </w:r>
    </w:p>
  </w:endnote>
  <w:endnote w:type="continuationSeparator" w:id="0">
    <w:p w:rsidR="007E15A7" w:rsidRDefault="007E15A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7E15A7" w:rsidRDefault="007E15A7">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950A69">
          <w:rPr>
            <w:rFonts w:ascii="Arial" w:hAnsi="Arial" w:cs="Arial"/>
            <w:b w:val="0"/>
            <w:noProof/>
            <w:sz w:val="22"/>
          </w:rPr>
          <w:t>9</w:t>
        </w:r>
        <w:r w:rsidRPr="00D67065">
          <w:rPr>
            <w:rFonts w:ascii="Arial" w:hAnsi="Arial" w:cs="Arial"/>
            <w:b w:val="0"/>
            <w:sz w:val="22"/>
          </w:rPr>
          <w:fldChar w:fldCharType="end"/>
        </w:r>
      </w:p>
    </w:sdtContent>
  </w:sdt>
  <w:p w:rsidR="007E15A7" w:rsidRDefault="007E15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A7" w:rsidRDefault="007E15A7" w:rsidP="00D67065">
      <w:r>
        <w:separator/>
      </w:r>
    </w:p>
  </w:footnote>
  <w:footnote w:type="continuationSeparator" w:id="0">
    <w:p w:rsidR="007E15A7" w:rsidRDefault="007E15A7"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5A7" w:rsidRPr="00761554" w:rsidRDefault="007E15A7"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A6E97"/>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41A4E"/>
    <w:rsid w:val="003635C3"/>
    <w:rsid w:val="003671BC"/>
    <w:rsid w:val="003745BD"/>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700507"/>
    <w:rsid w:val="00720B52"/>
    <w:rsid w:val="00724C93"/>
    <w:rsid w:val="00761554"/>
    <w:rsid w:val="0078577C"/>
    <w:rsid w:val="00790F09"/>
    <w:rsid w:val="00793637"/>
    <w:rsid w:val="007A4FB9"/>
    <w:rsid w:val="007C7652"/>
    <w:rsid w:val="007D53B6"/>
    <w:rsid w:val="007E15A7"/>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50A69"/>
    <w:rsid w:val="0099194C"/>
    <w:rsid w:val="00993124"/>
    <w:rsid w:val="00994864"/>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105"/>
    <w:rsid w:val="00E82DA4"/>
    <w:rsid w:val="00E94104"/>
    <w:rsid w:val="00EA1361"/>
    <w:rsid w:val="00EB6763"/>
    <w:rsid w:val="00EC35CB"/>
    <w:rsid w:val="00EC3E7D"/>
    <w:rsid w:val="00EF18CA"/>
    <w:rsid w:val="00F00E69"/>
    <w:rsid w:val="00F125DF"/>
    <w:rsid w:val="00F3206E"/>
    <w:rsid w:val="00F34598"/>
    <w:rsid w:val="00F34D8F"/>
    <w:rsid w:val="00F73819"/>
    <w:rsid w:val="00FA20CD"/>
    <w:rsid w:val="00FD0229"/>
    <w:rsid w:val="00FE5DAD"/>
    <w:rsid w:val="00FF5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646ECC"/>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FF5B9E"/>
    <w:pPr>
      <w:spacing w:after="120"/>
    </w:pPr>
    <w:rPr>
      <w:sz w:val="16"/>
      <w:szCs w:val="16"/>
    </w:rPr>
  </w:style>
  <w:style w:type="character" w:customStyle="1" w:styleId="GvdeMetni3Char">
    <w:name w:val="Gövde Metni 3 Char"/>
    <w:basedOn w:val="VarsaylanParagrafYazTipi"/>
    <w:link w:val="GvdeMetni3"/>
    <w:uiPriority w:val="99"/>
    <w:semiHidden/>
    <w:rsid w:val="00FF5B9E"/>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861748816">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262C-78B7-4B60-B305-4B730AE5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31</Pages>
  <Words>15606</Words>
  <Characters>88959</Characters>
  <Application>Microsoft Office Word</Application>
  <DocSecurity>0</DocSecurity>
  <Lines>741</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127</cp:revision>
  <cp:lastPrinted>2022-09-09T12:32:00Z</cp:lastPrinted>
  <dcterms:created xsi:type="dcterms:W3CDTF">2018-03-10T17:53:00Z</dcterms:created>
  <dcterms:modified xsi:type="dcterms:W3CDTF">2022-10-04T13:58:00Z</dcterms:modified>
</cp:coreProperties>
</file>