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7CA22"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bookmarkStart w:id="0" w:name="_GoBack"/>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9A5C0F" w:rsidP="00EC3E7D">
            <w:pPr>
              <w:pStyle w:val="GvdeMetni"/>
              <w:spacing w:after="120" w:line="240" w:lineRule="auto"/>
              <w:jc w:val="center"/>
              <w:rPr>
                <w:color w:val="FF0000"/>
                <w:sz w:val="22"/>
                <w:szCs w:val="22"/>
              </w:rPr>
            </w:pPr>
            <w:r>
              <w:rPr>
                <w:color w:val="FF0000"/>
                <w:sz w:val="22"/>
                <w:szCs w:val="22"/>
              </w:rPr>
              <w:t>67</w:t>
            </w:r>
            <w:r w:rsidR="00381E3B">
              <w:rPr>
                <w:color w:val="FF0000"/>
                <w:sz w:val="22"/>
                <w:szCs w:val="22"/>
              </w:rPr>
              <w:t xml:space="preserve"> KALEM </w:t>
            </w:r>
            <w:r w:rsidRPr="009A5C0F">
              <w:rPr>
                <w:color w:val="FF0000"/>
                <w:sz w:val="22"/>
                <w:szCs w:val="22"/>
              </w:rPr>
              <w:t>KURTARICI, MAGIRUS TANKER, VOLAT TANKER, VİDANJÖR VE BMC KAMYON YEDEK PARÇASI</w:t>
            </w:r>
            <w:r w:rsidR="00381E3B">
              <w:rPr>
                <w:color w:val="FF0000"/>
                <w:sz w:val="22"/>
                <w:szCs w:val="22"/>
              </w:rPr>
              <w:t xml:space="preserve">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9A5C0F">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w:t>
            </w:r>
            <w:r w:rsidR="009A5C0F">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9A5C0F">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9A5C0F">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t xml:space="preserve">(Kayıt Numarası): </w:t>
      </w:r>
      <w:r w:rsidR="00332096">
        <w:rPr>
          <w:rStyle w:val="richtext"/>
          <w:bCs/>
          <w:color w:val="auto"/>
        </w:rPr>
        <w:t>202</w:t>
      </w:r>
      <w:r w:rsidR="009A5C0F">
        <w:rPr>
          <w:rStyle w:val="richtext"/>
          <w:bCs/>
          <w:color w:val="auto"/>
        </w:rPr>
        <w:t>2</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r w:rsidRPr="00667EAC">
        <w:rPr>
          <w:color w:val="auto"/>
        </w:rPr>
        <w:t>...........................................................</w:t>
      </w:r>
      <w:r w:rsidR="00041300">
        <w:rPr>
          <w:color w:val="auto"/>
        </w:rPr>
        <w:t>.....................................</w:t>
      </w:r>
      <w:r w:rsidRPr="00667EAC">
        <w:rPr>
          <w:color w:val="auto"/>
        </w:rPr>
        <w:t xml:space="preserve">... </w:t>
      </w:r>
      <w:r w:rsidR="00041300">
        <w:rPr>
          <w:color w:val="auto"/>
        </w:rPr>
        <w:t>………………………………………………………………………………………………….</w:t>
      </w:r>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A5C0F" w:rsidRPr="00426E5B">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9A5C0F">
        <w:rPr>
          <w:rFonts w:ascii="Times New Roman" w:hAnsi="Times New Roman" w:cs="Times New Roman"/>
          <w:color w:val="FF0000"/>
          <w:sz w:val="24"/>
          <w:szCs w:val="24"/>
        </w:rPr>
        <w:t>67</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 xml:space="preserve">KALEM </w:t>
      </w:r>
      <w:r w:rsidR="009A5C0F" w:rsidRPr="009A5C0F">
        <w:rPr>
          <w:rFonts w:ascii="Times New Roman" w:hAnsi="Times New Roman" w:cs="Times New Roman"/>
          <w:color w:val="FF0000"/>
          <w:sz w:val="24"/>
          <w:szCs w:val="24"/>
        </w:rPr>
        <w:t>KURTARICI, MAGIRUS TANKER, VOLAT TANKER, VİDANJÖR VE BMC KAMYON YEDEK PARÇASI</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563"/>
        <w:gridCol w:w="1883"/>
        <w:gridCol w:w="5175"/>
        <w:gridCol w:w="992"/>
        <w:gridCol w:w="998"/>
        <w:gridCol w:w="12"/>
      </w:tblGrid>
      <w:tr w:rsidR="009A5C0F" w:rsidRPr="009A5C0F" w:rsidTr="009A5C0F">
        <w:trPr>
          <w:trHeight w:val="850"/>
        </w:trPr>
        <w:tc>
          <w:tcPr>
            <w:tcW w:w="563" w:type="dxa"/>
            <w:vAlign w:val="center"/>
            <w:hideMark/>
          </w:tcPr>
          <w:p w:rsidR="009A5C0F" w:rsidRPr="009A5C0F" w:rsidRDefault="009A5C0F" w:rsidP="009A5C0F">
            <w:pPr>
              <w:pStyle w:val="BodyText31"/>
              <w:jc w:val="center"/>
              <w:rPr>
                <w:bCs/>
                <w:color w:val="auto"/>
                <w:u w:val="single"/>
              </w:rPr>
            </w:pPr>
            <w:r w:rsidRPr="009A5C0F">
              <w:rPr>
                <w:bCs/>
                <w:color w:val="auto"/>
                <w:u w:val="single"/>
              </w:rPr>
              <w:t>S. NO</w:t>
            </w:r>
          </w:p>
        </w:tc>
        <w:tc>
          <w:tcPr>
            <w:tcW w:w="1883" w:type="dxa"/>
            <w:noWrap/>
            <w:vAlign w:val="center"/>
            <w:hideMark/>
          </w:tcPr>
          <w:p w:rsidR="009A5C0F" w:rsidRPr="009A5C0F" w:rsidRDefault="009A5C0F" w:rsidP="009A5C0F">
            <w:pPr>
              <w:pStyle w:val="BodyText31"/>
              <w:jc w:val="center"/>
              <w:rPr>
                <w:bCs/>
                <w:color w:val="auto"/>
                <w:u w:val="single"/>
              </w:rPr>
            </w:pPr>
            <w:r w:rsidRPr="009A5C0F">
              <w:rPr>
                <w:bCs/>
                <w:color w:val="auto"/>
                <w:u w:val="single"/>
              </w:rPr>
              <w:t>STOK NO</w:t>
            </w:r>
          </w:p>
        </w:tc>
        <w:tc>
          <w:tcPr>
            <w:tcW w:w="5175" w:type="dxa"/>
            <w:noWrap/>
            <w:vAlign w:val="center"/>
            <w:hideMark/>
          </w:tcPr>
          <w:p w:rsidR="009A5C0F" w:rsidRPr="009A5C0F" w:rsidRDefault="009A5C0F" w:rsidP="009A5C0F">
            <w:pPr>
              <w:pStyle w:val="BodyText31"/>
              <w:jc w:val="center"/>
              <w:rPr>
                <w:bCs/>
                <w:color w:val="auto"/>
                <w:u w:val="single"/>
              </w:rPr>
            </w:pPr>
            <w:r w:rsidRPr="009A5C0F">
              <w:rPr>
                <w:bCs/>
                <w:color w:val="auto"/>
                <w:u w:val="single"/>
              </w:rPr>
              <w:t>MALZEMENİN CİNSİ</w:t>
            </w:r>
          </w:p>
        </w:tc>
        <w:tc>
          <w:tcPr>
            <w:tcW w:w="2002" w:type="dxa"/>
            <w:gridSpan w:val="3"/>
            <w:noWrap/>
            <w:vAlign w:val="center"/>
            <w:hideMark/>
          </w:tcPr>
          <w:p w:rsidR="009A5C0F" w:rsidRPr="009A5C0F" w:rsidRDefault="009A5C0F" w:rsidP="009A5C0F">
            <w:pPr>
              <w:pStyle w:val="BodyText31"/>
              <w:jc w:val="center"/>
              <w:rPr>
                <w:bCs/>
                <w:color w:val="auto"/>
                <w:u w:val="single"/>
              </w:rPr>
            </w:pPr>
            <w:r w:rsidRPr="009A5C0F">
              <w:rPr>
                <w:bCs/>
                <w:color w:val="auto"/>
                <w:u w:val="single"/>
              </w:rPr>
              <w:t>MİKTARI</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1</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3030KK0523417</w:t>
            </w:r>
          </w:p>
        </w:tc>
        <w:tc>
          <w:tcPr>
            <w:tcW w:w="5175" w:type="dxa"/>
            <w:vAlign w:val="center"/>
            <w:hideMark/>
          </w:tcPr>
          <w:p w:rsidR="009A5C0F" w:rsidRPr="009A5C0F" w:rsidRDefault="009A5C0F" w:rsidP="009A5C0F">
            <w:pPr>
              <w:pStyle w:val="BodyText31"/>
              <w:jc w:val="left"/>
              <w:rPr>
                <w:color w:val="auto"/>
              </w:rPr>
            </w:pPr>
            <w:r w:rsidRPr="009A5C0F">
              <w:rPr>
                <w:color w:val="auto"/>
              </w:rPr>
              <w:t>‌KAYIŞ,</w:t>
            </w:r>
            <w:r w:rsidR="00BD5EE1">
              <w:rPr>
                <w:color w:val="auto"/>
              </w:rPr>
              <w:t xml:space="preserve"> </w:t>
            </w:r>
            <w:r w:rsidRPr="009A5C0F">
              <w:rPr>
                <w:color w:val="auto"/>
              </w:rPr>
              <w:t>DÜZ, KLİMA KAYIŞI, 8PK0925</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2</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2510270629266</w:t>
            </w:r>
          </w:p>
        </w:tc>
        <w:tc>
          <w:tcPr>
            <w:tcW w:w="5175" w:type="dxa"/>
            <w:vAlign w:val="center"/>
            <w:hideMark/>
          </w:tcPr>
          <w:p w:rsidR="009A5C0F" w:rsidRPr="009A5C0F" w:rsidRDefault="009A5C0F" w:rsidP="009A5C0F">
            <w:pPr>
              <w:pStyle w:val="BodyText31"/>
              <w:jc w:val="left"/>
              <w:rPr>
                <w:color w:val="auto"/>
              </w:rPr>
            </w:pPr>
            <w:r w:rsidRPr="009A5C0F">
              <w:rPr>
                <w:color w:val="auto"/>
              </w:rPr>
              <w:t>‌PANEL, ÖN KAPUT DIŞ</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3</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2520270531419</w:t>
            </w:r>
          </w:p>
        </w:tc>
        <w:tc>
          <w:tcPr>
            <w:tcW w:w="5175" w:type="dxa"/>
            <w:vAlign w:val="center"/>
            <w:hideMark/>
          </w:tcPr>
          <w:p w:rsidR="009A5C0F" w:rsidRPr="009A5C0F" w:rsidRDefault="009A5C0F" w:rsidP="009A5C0F">
            <w:pPr>
              <w:pStyle w:val="BodyText31"/>
              <w:jc w:val="left"/>
              <w:rPr>
                <w:color w:val="auto"/>
              </w:rPr>
            </w:pPr>
            <w:r w:rsidRPr="009A5C0F">
              <w:rPr>
                <w:color w:val="auto"/>
              </w:rPr>
              <w:t>‌İMDATLI FREN KÖRÜĞÜ-ARKA DİNGİL</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4</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2530015895751</w:t>
            </w:r>
          </w:p>
        </w:tc>
        <w:tc>
          <w:tcPr>
            <w:tcW w:w="5175" w:type="dxa"/>
            <w:vAlign w:val="center"/>
            <w:hideMark/>
          </w:tcPr>
          <w:p w:rsidR="009A5C0F" w:rsidRPr="009A5C0F" w:rsidRDefault="009A5C0F" w:rsidP="009A5C0F">
            <w:pPr>
              <w:pStyle w:val="BodyText31"/>
              <w:jc w:val="left"/>
              <w:rPr>
                <w:color w:val="auto"/>
              </w:rPr>
            </w:pPr>
            <w:r w:rsidRPr="009A5C0F">
              <w:rPr>
                <w:color w:val="auto"/>
              </w:rPr>
              <w:t>PLANCIR,</w:t>
            </w:r>
            <w:r w:rsidR="00BD5EE1">
              <w:rPr>
                <w:color w:val="auto"/>
              </w:rPr>
              <w:t xml:space="preserve"> </w:t>
            </w:r>
            <w:r w:rsidRPr="009A5C0F">
              <w:rPr>
                <w:color w:val="auto"/>
              </w:rPr>
              <w:t>SOL</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5</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2530270547354</w:t>
            </w:r>
          </w:p>
        </w:tc>
        <w:tc>
          <w:tcPr>
            <w:tcW w:w="5175" w:type="dxa"/>
            <w:vAlign w:val="center"/>
            <w:hideMark/>
          </w:tcPr>
          <w:p w:rsidR="009A5C0F" w:rsidRPr="009A5C0F" w:rsidRDefault="009A5C0F" w:rsidP="009A5C0F">
            <w:pPr>
              <w:pStyle w:val="BodyText31"/>
              <w:jc w:val="left"/>
              <w:rPr>
                <w:color w:val="auto"/>
              </w:rPr>
            </w:pPr>
            <w:r w:rsidRPr="009A5C0F">
              <w:rPr>
                <w:color w:val="auto"/>
              </w:rPr>
              <w:t>JANT</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6</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2540270058824</w:t>
            </w:r>
          </w:p>
        </w:tc>
        <w:tc>
          <w:tcPr>
            <w:tcW w:w="5175" w:type="dxa"/>
            <w:vAlign w:val="center"/>
            <w:hideMark/>
          </w:tcPr>
          <w:p w:rsidR="009A5C0F" w:rsidRPr="009A5C0F" w:rsidRDefault="009A5C0F" w:rsidP="009A5C0F">
            <w:pPr>
              <w:pStyle w:val="BodyText31"/>
              <w:jc w:val="left"/>
              <w:rPr>
                <w:color w:val="auto"/>
              </w:rPr>
            </w:pPr>
            <w:r w:rsidRPr="009A5C0F">
              <w:rPr>
                <w:color w:val="auto"/>
              </w:rPr>
              <w:t>‌CAM SİLECEK KOLU-UZUN</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7</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2540270060460</w:t>
            </w:r>
          </w:p>
        </w:tc>
        <w:tc>
          <w:tcPr>
            <w:tcW w:w="5175" w:type="dxa"/>
            <w:vAlign w:val="center"/>
            <w:hideMark/>
          </w:tcPr>
          <w:p w:rsidR="009A5C0F" w:rsidRPr="009A5C0F" w:rsidRDefault="009A5C0F" w:rsidP="009A5C0F">
            <w:pPr>
              <w:pStyle w:val="BodyText31"/>
              <w:jc w:val="left"/>
              <w:rPr>
                <w:color w:val="auto"/>
              </w:rPr>
            </w:pPr>
            <w:r w:rsidRPr="009A5C0F">
              <w:rPr>
                <w:color w:val="auto"/>
              </w:rPr>
              <w:t>‌CAM SİLECEK KOLU-KISA</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8</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2540270481641</w:t>
            </w:r>
          </w:p>
        </w:tc>
        <w:tc>
          <w:tcPr>
            <w:tcW w:w="5175" w:type="dxa"/>
            <w:vAlign w:val="center"/>
            <w:hideMark/>
          </w:tcPr>
          <w:p w:rsidR="009A5C0F" w:rsidRPr="009A5C0F" w:rsidRDefault="009A5C0F" w:rsidP="009A5C0F">
            <w:pPr>
              <w:pStyle w:val="BodyText31"/>
              <w:jc w:val="left"/>
              <w:rPr>
                <w:color w:val="auto"/>
              </w:rPr>
            </w:pPr>
            <w:r w:rsidRPr="009A5C0F">
              <w:rPr>
                <w:color w:val="auto"/>
              </w:rPr>
              <w:t>‌AYNA, KALDIRIM-SAĞ</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9</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2540270529003</w:t>
            </w:r>
          </w:p>
        </w:tc>
        <w:tc>
          <w:tcPr>
            <w:tcW w:w="5175" w:type="dxa"/>
            <w:vAlign w:val="center"/>
            <w:hideMark/>
          </w:tcPr>
          <w:p w:rsidR="009A5C0F" w:rsidRPr="009A5C0F" w:rsidRDefault="009A5C0F" w:rsidP="009A5C0F">
            <w:pPr>
              <w:pStyle w:val="BodyText31"/>
              <w:jc w:val="left"/>
              <w:rPr>
                <w:color w:val="auto"/>
              </w:rPr>
            </w:pPr>
            <w:r w:rsidRPr="009A5C0F">
              <w:rPr>
                <w:color w:val="auto"/>
              </w:rPr>
              <w:t>SİLECEK KOLU</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10</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2590270476606</w:t>
            </w:r>
          </w:p>
        </w:tc>
        <w:tc>
          <w:tcPr>
            <w:tcW w:w="5175" w:type="dxa"/>
            <w:vAlign w:val="center"/>
            <w:hideMark/>
          </w:tcPr>
          <w:p w:rsidR="009A5C0F" w:rsidRPr="009A5C0F" w:rsidRDefault="009A5C0F" w:rsidP="009A5C0F">
            <w:pPr>
              <w:pStyle w:val="BodyText31"/>
              <w:jc w:val="left"/>
              <w:rPr>
                <w:color w:val="auto"/>
              </w:rPr>
            </w:pPr>
            <w:r w:rsidRPr="009A5C0F">
              <w:rPr>
                <w:color w:val="auto"/>
              </w:rPr>
              <w:t>‌KİLİTLİ DEPO KAPAĞI, ZİNCİRLİ</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11</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2590270480538</w:t>
            </w:r>
          </w:p>
        </w:tc>
        <w:tc>
          <w:tcPr>
            <w:tcW w:w="5175" w:type="dxa"/>
            <w:vAlign w:val="center"/>
            <w:hideMark/>
          </w:tcPr>
          <w:p w:rsidR="009A5C0F" w:rsidRPr="009A5C0F" w:rsidRDefault="009A5C0F" w:rsidP="009A5C0F">
            <w:pPr>
              <w:pStyle w:val="BodyText31"/>
              <w:jc w:val="left"/>
              <w:rPr>
                <w:color w:val="auto"/>
              </w:rPr>
            </w:pPr>
            <w:r w:rsidRPr="009A5C0F">
              <w:rPr>
                <w:color w:val="auto"/>
              </w:rPr>
              <w:t>‌TARASSUT KAPAĞI, KAYNAKLI KMPL.</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12</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2590270551702</w:t>
            </w:r>
          </w:p>
        </w:tc>
        <w:tc>
          <w:tcPr>
            <w:tcW w:w="5175" w:type="dxa"/>
            <w:vAlign w:val="center"/>
            <w:hideMark/>
          </w:tcPr>
          <w:p w:rsidR="009A5C0F" w:rsidRPr="009A5C0F" w:rsidRDefault="00BD5EE1" w:rsidP="009A5C0F">
            <w:pPr>
              <w:pStyle w:val="BodyText31"/>
              <w:jc w:val="left"/>
              <w:rPr>
                <w:color w:val="auto"/>
              </w:rPr>
            </w:pPr>
            <w:r w:rsidRPr="009A5C0F">
              <w:rPr>
                <w:color w:val="auto"/>
              </w:rPr>
              <w:t>RÜZGÂRLIK</w:t>
            </w:r>
            <w:r w:rsidR="009A5C0F" w:rsidRPr="009A5C0F">
              <w:rPr>
                <w:color w:val="auto"/>
              </w:rPr>
              <w:t>-SOL</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13</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2590270551704</w:t>
            </w:r>
          </w:p>
        </w:tc>
        <w:tc>
          <w:tcPr>
            <w:tcW w:w="5175" w:type="dxa"/>
            <w:vAlign w:val="center"/>
            <w:hideMark/>
          </w:tcPr>
          <w:p w:rsidR="009A5C0F" w:rsidRPr="009A5C0F" w:rsidRDefault="00BD5EE1" w:rsidP="009A5C0F">
            <w:pPr>
              <w:pStyle w:val="BodyText31"/>
              <w:jc w:val="left"/>
              <w:rPr>
                <w:color w:val="auto"/>
              </w:rPr>
            </w:pPr>
            <w:r w:rsidRPr="009A5C0F">
              <w:rPr>
                <w:color w:val="auto"/>
              </w:rPr>
              <w:t>RÜZGÂRLIK</w:t>
            </w:r>
            <w:r w:rsidR="009A5C0F" w:rsidRPr="009A5C0F">
              <w:rPr>
                <w:color w:val="auto"/>
              </w:rPr>
              <w:t>-SAĞ</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14</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2920016063680</w:t>
            </w:r>
          </w:p>
        </w:tc>
        <w:tc>
          <w:tcPr>
            <w:tcW w:w="5175" w:type="dxa"/>
            <w:vAlign w:val="center"/>
            <w:hideMark/>
          </w:tcPr>
          <w:p w:rsidR="009A5C0F" w:rsidRPr="009A5C0F" w:rsidRDefault="009A5C0F" w:rsidP="009A5C0F">
            <w:pPr>
              <w:pStyle w:val="BodyText31"/>
              <w:jc w:val="left"/>
              <w:rPr>
                <w:color w:val="auto"/>
              </w:rPr>
            </w:pPr>
            <w:r w:rsidRPr="009A5C0F">
              <w:rPr>
                <w:color w:val="auto"/>
              </w:rPr>
              <w:t>KOLLEKTÖR</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9</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15</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2920270628561</w:t>
            </w:r>
          </w:p>
        </w:tc>
        <w:tc>
          <w:tcPr>
            <w:tcW w:w="5175" w:type="dxa"/>
            <w:vAlign w:val="center"/>
            <w:hideMark/>
          </w:tcPr>
          <w:p w:rsidR="009A5C0F" w:rsidRPr="009A5C0F" w:rsidRDefault="009A5C0F" w:rsidP="009A5C0F">
            <w:pPr>
              <w:pStyle w:val="BodyText31"/>
              <w:jc w:val="left"/>
              <w:rPr>
                <w:color w:val="auto"/>
              </w:rPr>
            </w:pPr>
            <w:r w:rsidRPr="009A5C0F">
              <w:rPr>
                <w:color w:val="auto"/>
              </w:rPr>
              <w:t>‌YASTIK MARŞ MOTOR</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30</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16</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3020003539273</w:t>
            </w:r>
          </w:p>
        </w:tc>
        <w:tc>
          <w:tcPr>
            <w:tcW w:w="5175" w:type="dxa"/>
            <w:vAlign w:val="center"/>
            <w:hideMark/>
          </w:tcPr>
          <w:p w:rsidR="009A5C0F" w:rsidRPr="009A5C0F" w:rsidRDefault="009A5C0F" w:rsidP="009A5C0F">
            <w:pPr>
              <w:pStyle w:val="BodyText31"/>
              <w:jc w:val="left"/>
              <w:rPr>
                <w:color w:val="auto"/>
              </w:rPr>
            </w:pPr>
            <w:r w:rsidRPr="009A5C0F">
              <w:rPr>
                <w:color w:val="auto"/>
              </w:rPr>
              <w:t>DİŞLİ,</w:t>
            </w:r>
            <w:r w:rsidR="00BD5EE1">
              <w:rPr>
                <w:color w:val="auto"/>
              </w:rPr>
              <w:t xml:space="preserve"> </w:t>
            </w:r>
            <w:r w:rsidRPr="009A5C0F">
              <w:rPr>
                <w:color w:val="auto"/>
              </w:rPr>
              <w:t>VOLAN</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17</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3020013497874</w:t>
            </w:r>
          </w:p>
        </w:tc>
        <w:tc>
          <w:tcPr>
            <w:tcW w:w="5175" w:type="dxa"/>
            <w:vAlign w:val="center"/>
            <w:hideMark/>
          </w:tcPr>
          <w:p w:rsidR="009A5C0F" w:rsidRPr="009A5C0F" w:rsidRDefault="009A5C0F" w:rsidP="009A5C0F">
            <w:pPr>
              <w:pStyle w:val="BodyText31"/>
              <w:jc w:val="left"/>
              <w:rPr>
                <w:color w:val="auto"/>
              </w:rPr>
            </w:pPr>
            <w:r w:rsidRPr="009A5C0F">
              <w:rPr>
                <w:color w:val="auto"/>
              </w:rPr>
              <w:t>‌DİŞLİ ORTA KÖPRÜ GÜNEŞ</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18</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3030013131298</w:t>
            </w:r>
          </w:p>
        </w:tc>
        <w:tc>
          <w:tcPr>
            <w:tcW w:w="5175" w:type="dxa"/>
            <w:vAlign w:val="center"/>
            <w:hideMark/>
          </w:tcPr>
          <w:p w:rsidR="009A5C0F" w:rsidRPr="009A5C0F" w:rsidRDefault="009A5C0F" w:rsidP="009A5C0F">
            <w:pPr>
              <w:pStyle w:val="BodyText31"/>
              <w:jc w:val="left"/>
              <w:rPr>
                <w:color w:val="auto"/>
              </w:rPr>
            </w:pPr>
            <w:r w:rsidRPr="009A5C0F">
              <w:rPr>
                <w:color w:val="auto"/>
              </w:rPr>
              <w:t>‌V KAYIŞ (8PK 1395)</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19</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4820270480972</w:t>
            </w:r>
          </w:p>
        </w:tc>
        <w:tc>
          <w:tcPr>
            <w:tcW w:w="5175" w:type="dxa"/>
            <w:vAlign w:val="center"/>
            <w:hideMark/>
          </w:tcPr>
          <w:p w:rsidR="009A5C0F" w:rsidRPr="009A5C0F" w:rsidRDefault="009A5C0F" w:rsidP="009A5C0F">
            <w:pPr>
              <w:pStyle w:val="BodyText31"/>
              <w:jc w:val="left"/>
              <w:rPr>
                <w:color w:val="auto"/>
              </w:rPr>
            </w:pPr>
            <w:r w:rsidRPr="009A5C0F">
              <w:rPr>
                <w:color w:val="auto"/>
              </w:rPr>
              <w:t>‌DÖRTLÜ KORUYUCU VALF</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20</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5306270575134</w:t>
            </w:r>
          </w:p>
        </w:tc>
        <w:tc>
          <w:tcPr>
            <w:tcW w:w="5175" w:type="dxa"/>
            <w:vAlign w:val="center"/>
            <w:hideMark/>
          </w:tcPr>
          <w:p w:rsidR="009A5C0F" w:rsidRPr="009A5C0F" w:rsidRDefault="009A5C0F" w:rsidP="009A5C0F">
            <w:pPr>
              <w:pStyle w:val="BodyText31"/>
              <w:jc w:val="left"/>
              <w:rPr>
                <w:color w:val="auto"/>
              </w:rPr>
            </w:pPr>
            <w:r w:rsidRPr="009A5C0F">
              <w:rPr>
                <w:color w:val="auto"/>
              </w:rPr>
              <w:t>ÖZEL CİVATA</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21</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5330270529551</w:t>
            </w:r>
          </w:p>
        </w:tc>
        <w:tc>
          <w:tcPr>
            <w:tcW w:w="5175" w:type="dxa"/>
            <w:vAlign w:val="center"/>
            <w:hideMark/>
          </w:tcPr>
          <w:p w:rsidR="009A5C0F" w:rsidRPr="009A5C0F" w:rsidRDefault="009A5C0F" w:rsidP="009A5C0F">
            <w:pPr>
              <w:pStyle w:val="BodyText31"/>
              <w:jc w:val="left"/>
              <w:rPr>
                <w:color w:val="auto"/>
              </w:rPr>
            </w:pPr>
            <w:r w:rsidRPr="009A5C0F">
              <w:rPr>
                <w:color w:val="auto"/>
              </w:rPr>
              <w:t>TOZ LASTİĞİ</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tcPr>
          <w:p w:rsidR="009A5C0F" w:rsidRPr="009A5C0F" w:rsidRDefault="009A5C0F" w:rsidP="009A5C0F">
            <w:pPr>
              <w:pStyle w:val="BodyText31"/>
              <w:jc w:val="center"/>
              <w:rPr>
                <w:bCs/>
                <w:color w:val="auto"/>
                <w:u w:val="single"/>
              </w:rPr>
            </w:pPr>
            <w:r w:rsidRPr="009A5C0F">
              <w:rPr>
                <w:bCs/>
                <w:color w:val="auto"/>
                <w:u w:val="single"/>
              </w:rPr>
              <w:t>S. NO</w:t>
            </w:r>
          </w:p>
        </w:tc>
        <w:tc>
          <w:tcPr>
            <w:tcW w:w="1883" w:type="dxa"/>
            <w:noWrap/>
            <w:vAlign w:val="center"/>
          </w:tcPr>
          <w:p w:rsidR="009A5C0F" w:rsidRPr="009A5C0F" w:rsidRDefault="009A5C0F" w:rsidP="009A5C0F">
            <w:pPr>
              <w:pStyle w:val="BodyText31"/>
              <w:jc w:val="center"/>
              <w:rPr>
                <w:bCs/>
                <w:color w:val="auto"/>
                <w:u w:val="single"/>
              </w:rPr>
            </w:pPr>
            <w:r w:rsidRPr="009A5C0F">
              <w:rPr>
                <w:bCs/>
                <w:color w:val="auto"/>
                <w:u w:val="single"/>
              </w:rPr>
              <w:t>STOK NO</w:t>
            </w:r>
          </w:p>
        </w:tc>
        <w:tc>
          <w:tcPr>
            <w:tcW w:w="5175" w:type="dxa"/>
            <w:vAlign w:val="center"/>
          </w:tcPr>
          <w:p w:rsidR="009A5C0F" w:rsidRPr="009A5C0F" w:rsidRDefault="009A5C0F" w:rsidP="009A5C0F">
            <w:pPr>
              <w:pStyle w:val="BodyText31"/>
              <w:jc w:val="center"/>
              <w:rPr>
                <w:bCs/>
                <w:color w:val="auto"/>
                <w:u w:val="single"/>
              </w:rPr>
            </w:pPr>
            <w:r w:rsidRPr="009A5C0F">
              <w:rPr>
                <w:bCs/>
                <w:color w:val="auto"/>
                <w:u w:val="single"/>
              </w:rPr>
              <w:t>MALZEMENİN CİNSİ</w:t>
            </w:r>
          </w:p>
        </w:tc>
        <w:tc>
          <w:tcPr>
            <w:tcW w:w="1990" w:type="dxa"/>
            <w:gridSpan w:val="2"/>
            <w:noWrap/>
            <w:vAlign w:val="center"/>
          </w:tcPr>
          <w:p w:rsidR="009A5C0F" w:rsidRPr="009A5C0F" w:rsidRDefault="009A5C0F" w:rsidP="009A5C0F">
            <w:pPr>
              <w:pStyle w:val="BodyText31"/>
              <w:jc w:val="center"/>
              <w:rPr>
                <w:bCs/>
                <w:color w:val="auto"/>
                <w:u w:val="single"/>
              </w:rPr>
            </w:pPr>
            <w:r w:rsidRPr="009A5C0F">
              <w:rPr>
                <w:bCs/>
                <w:color w:val="auto"/>
                <w:u w:val="single"/>
              </w:rPr>
              <w:t>MİKTARI</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22</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5365015498301</w:t>
            </w:r>
          </w:p>
        </w:tc>
        <w:tc>
          <w:tcPr>
            <w:tcW w:w="5175" w:type="dxa"/>
            <w:vAlign w:val="center"/>
            <w:hideMark/>
          </w:tcPr>
          <w:p w:rsidR="009A5C0F" w:rsidRPr="009A5C0F" w:rsidRDefault="009A5C0F" w:rsidP="009A5C0F">
            <w:pPr>
              <w:pStyle w:val="BodyText31"/>
              <w:jc w:val="left"/>
              <w:rPr>
                <w:color w:val="auto"/>
              </w:rPr>
            </w:pPr>
            <w:r w:rsidRPr="009A5C0F">
              <w:rPr>
                <w:color w:val="auto"/>
              </w:rPr>
              <w:t>HALKA</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23</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5920123015890</w:t>
            </w:r>
          </w:p>
        </w:tc>
        <w:tc>
          <w:tcPr>
            <w:tcW w:w="5175" w:type="dxa"/>
            <w:vAlign w:val="center"/>
            <w:hideMark/>
          </w:tcPr>
          <w:p w:rsidR="009A5C0F" w:rsidRPr="009A5C0F" w:rsidRDefault="009A5C0F" w:rsidP="009A5C0F">
            <w:pPr>
              <w:pStyle w:val="BodyText31"/>
              <w:jc w:val="left"/>
              <w:rPr>
                <w:color w:val="auto"/>
              </w:rPr>
            </w:pPr>
            <w:r w:rsidRPr="009A5C0F">
              <w:rPr>
                <w:color w:val="auto"/>
              </w:rPr>
              <w:t>‌SİGORTA, AÇIK KAHVE (5AMP.)</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4</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24</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5920123084126</w:t>
            </w:r>
          </w:p>
        </w:tc>
        <w:tc>
          <w:tcPr>
            <w:tcW w:w="5175" w:type="dxa"/>
            <w:vAlign w:val="center"/>
            <w:hideMark/>
          </w:tcPr>
          <w:p w:rsidR="009A5C0F" w:rsidRPr="009A5C0F" w:rsidRDefault="009A5C0F" w:rsidP="009A5C0F">
            <w:pPr>
              <w:pStyle w:val="BodyText31"/>
              <w:jc w:val="left"/>
              <w:rPr>
                <w:color w:val="auto"/>
              </w:rPr>
            </w:pPr>
            <w:r w:rsidRPr="009A5C0F">
              <w:rPr>
                <w:color w:val="auto"/>
              </w:rPr>
              <w:t>SİGORTA 20A</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4</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25</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5920123130640</w:t>
            </w:r>
          </w:p>
        </w:tc>
        <w:tc>
          <w:tcPr>
            <w:tcW w:w="5175" w:type="dxa"/>
            <w:vAlign w:val="center"/>
            <w:hideMark/>
          </w:tcPr>
          <w:p w:rsidR="009A5C0F" w:rsidRPr="009A5C0F" w:rsidRDefault="009A5C0F" w:rsidP="009A5C0F">
            <w:pPr>
              <w:pStyle w:val="BodyText31"/>
              <w:jc w:val="left"/>
              <w:rPr>
                <w:color w:val="auto"/>
              </w:rPr>
            </w:pPr>
            <w:r w:rsidRPr="009A5C0F">
              <w:rPr>
                <w:color w:val="auto"/>
              </w:rPr>
              <w:t>‌SIGORTA 25 AMP. ( BEYAZ )</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4</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26</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5963015859269</w:t>
            </w:r>
          </w:p>
        </w:tc>
        <w:tc>
          <w:tcPr>
            <w:tcW w:w="5175" w:type="dxa"/>
            <w:vAlign w:val="center"/>
            <w:hideMark/>
          </w:tcPr>
          <w:p w:rsidR="009A5C0F" w:rsidRPr="009A5C0F" w:rsidRDefault="009A5C0F" w:rsidP="009A5C0F">
            <w:pPr>
              <w:pStyle w:val="BodyText31"/>
              <w:jc w:val="left"/>
              <w:rPr>
                <w:color w:val="auto"/>
              </w:rPr>
            </w:pPr>
            <w:r w:rsidRPr="009A5C0F">
              <w:rPr>
                <w:color w:val="auto"/>
              </w:rPr>
              <w:t>‌ELEKTRONİK KONTROL MODÜLÜ</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27</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5977270642666</w:t>
            </w:r>
          </w:p>
        </w:tc>
        <w:tc>
          <w:tcPr>
            <w:tcW w:w="5175" w:type="dxa"/>
            <w:vAlign w:val="center"/>
            <w:hideMark/>
          </w:tcPr>
          <w:p w:rsidR="009A5C0F" w:rsidRPr="009A5C0F" w:rsidRDefault="009A5C0F" w:rsidP="009A5C0F">
            <w:pPr>
              <w:pStyle w:val="BodyText31"/>
              <w:jc w:val="left"/>
              <w:rPr>
                <w:color w:val="auto"/>
              </w:rPr>
            </w:pPr>
            <w:r w:rsidRPr="009A5C0F">
              <w:rPr>
                <w:color w:val="auto"/>
              </w:rPr>
              <w:t>‌TUTUCU, MARŞ MOTORU KÖMÜR TABLASI</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15</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28</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6240121597268</w:t>
            </w:r>
          </w:p>
        </w:tc>
        <w:tc>
          <w:tcPr>
            <w:tcW w:w="5175" w:type="dxa"/>
            <w:vAlign w:val="center"/>
            <w:hideMark/>
          </w:tcPr>
          <w:p w:rsidR="009A5C0F" w:rsidRPr="009A5C0F" w:rsidRDefault="009A5C0F" w:rsidP="009A5C0F">
            <w:pPr>
              <w:pStyle w:val="BodyText31"/>
              <w:jc w:val="left"/>
              <w:rPr>
                <w:color w:val="auto"/>
              </w:rPr>
            </w:pPr>
            <w:r w:rsidRPr="009A5C0F">
              <w:rPr>
                <w:color w:val="auto"/>
              </w:rPr>
              <w:t>‌AMPUL SARI 24V/21W</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29</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6240270091936</w:t>
            </w:r>
          </w:p>
        </w:tc>
        <w:tc>
          <w:tcPr>
            <w:tcW w:w="5175" w:type="dxa"/>
            <w:vAlign w:val="center"/>
            <w:hideMark/>
          </w:tcPr>
          <w:p w:rsidR="009A5C0F" w:rsidRPr="009A5C0F" w:rsidRDefault="009A5C0F" w:rsidP="00BD5EE1">
            <w:pPr>
              <w:pStyle w:val="BodyText31"/>
              <w:jc w:val="left"/>
              <w:rPr>
                <w:color w:val="auto"/>
              </w:rPr>
            </w:pPr>
            <w:r w:rsidRPr="009A5C0F">
              <w:rPr>
                <w:color w:val="auto"/>
              </w:rPr>
              <w:t>‌AMPUL, İKAZ LAMBASI 24 V</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30</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6240270126992</w:t>
            </w:r>
          </w:p>
        </w:tc>
        <w:tc>
          <w:tcPr>
            <w:tcW w:w="5175" w:type="dxa"/>
            <w:vAlign w:val="center"/>
            <w:hideMark/>
          </w:tcPr>
          <w:p w:rsidR="009A5C0F" w:rsidRPr="009A5C0F" w:rsidRDefault="009A5C0F" w:rsidP="009A5C0F">
            <w:pPr>
              <w:pStyle w:val="BodyText31"/>
              <w:jc w:val="left"/>
              <w:rPr>
                <w:color w:val="auto"/>
              </w:rPr>
            </w:pPr>
            <w:r w:rsidRPr="009A5C0F">
              <w:rPr>
                <w:color w:val="auto"/>
              </w:rPr>
              <w:t>AMPUL</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31</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6240270411644</w:t>
            </w:r>
          </w:p>
        </w:tc>
        <w:tc>
          <w:tcPr>
            <w:tcW w:w="5175" w:type="dxa"/>
            <w:vAlign w:val="center"/>
            <w:hideMark/>
          </w:tcPr>
          <w:p w:rsidR="009A5C0F" w:rsidRPr="009A5C0F" w:rsidRDefault="009A5C0F" w:rsidP="009A5C0F">
            <w:pPr>
              <w:pStyle w:val="BodyText31"/>
              <w:jc w:val="left"/>
              <w:rPr>
                <w:color w:val="auto"/>
              </w:rPr>
            </w:pPr>
            <w:r w:rsidRPr="009A5C0F">
              <w:rPr>
                <w:color w:val="auto"/>
              </w:rPr>
              <w:t>FAR AMPULÜ</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32</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6240270439677</w:t>
            </w:r>
          </w:p>
        </w:tc>
        <w:tc>
          <w:tcPr>
            <w:tcW w:w="5175" w:type="dxa"/>
            <w:vAlign w:val="center"/>
            <w:hideMark/>
          </w:tcPr>
          <w:p w:rsidR="009A5C0F" w:rsidRPr="009A5C0F" w:rsidRDefault="009A5C0F" w:rsidP="00BD5EE1">
            <w:pPr>
              <w:pStyle w:val="BodyText31"/>
              <w:jc w:val="left"/>
              <w:rPr>
                <w:color w:val="auto"/>
              </w:rPr>
            </w:pPr>
            <w:r w:rsidRPr="009A5C0F">
              <w:rPr>
                <w:color w:val="auto"/>
              </w:rPr>
              <w:t>‌AMPUL H1 24V 70W.</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33</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2520270167979</w:t>
            </w:r>
          </w:p>
        </w:tc>
        <w:tc>
          <w:tcPr>
            <w:tcW w:w="5175" w:type="dxa"/>
            <w:vAlign w:val="center"/>
            <w:hideMark/>
          </w:tcPr>
          <w:p w:rsidR="009A5C0F" w:rsidRPr="009A5C0F" w:rsidRDefault="009A5C0F" w:rsidP="009A5C0F">
            <w:pPr>
              <w:pStyle w:val="BodyText31"/>
              <w:jc w:val="left"/>
              <w:rPr>
                <w:color w:val="auto"/>
              </w:rPr>
            </w:pPr>
            <w:r w:rsidRPr="009A5C0F">
              <w:rPr>
                <w:color w:val="auto"/>
              </w:rPr>
              <w:t>‌YARDIMCI SİLİNDİR, DEBRİYAJ ALT</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3</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34</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5306012401783</w:t>
            </w:r>
          </w:p>
        </w:tc>
        <w:tc>
          <w:tcPr>
            <w:tcW w:w="5175" w:type="dxa"/>
            <w:vAlign w:val="center"/>
            <w:hideMark/>
          </w:tcPr>
          <w:p w:rsidR="009A5C0F" w:rsidRPr="009A5C0F" w:rsidRDefault="009A5C0F" w:rsidP="009A5C0F">
            <w:pPr>
              <w:pStyle w:val="BodyText31"/>
              <w:jc w:val="left"/>
              <w:rPr>
                <w:color w:val="auto"/>
              </w:rPr>
            </w:pPr>
            <w:r w:rsidRPr="009A5C0F">
              <w:rPr>
                <w:color w:val="auto"/>
              </w:rPr>
              <w:t>‌SELENOİD CİVATA MARŞ MORORU BMC 185-09</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35</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2930270479016</w:t>
            </w:r>
          </w:p>
        </w:tc>
        <w:tc>
          <w:tcPr>
            <w:tcW w:w="5175" w:type="dxa"/>
            <w:vAlign w:val="center"/>
            <w:hideMark/>
          </w:tcPr>
          <w:p w:rsidR="009A5C0F" w:rsidRPr="009A5C0F" w:rsidRDefault="009A5C0F" w:rsidP="009A5C0F">
            <w:pPr>
              <w:pStyle w:val="BodyText31"/>
              <w:jc w:val="left"/>
              <w:rPr>
                <w:color w:val="auto"/>
              </w:rPr>
            </w:pPr>
            <w:r w:rsidRPr="009A5C0F">
              <w:rPr>
                <w:color w:val="auto"/>
              </w:rPr>
              <w:t>RADYATÖR</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36</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2910270059181</w:t>
            </w:r>
          </w:p>
        </w:tc>
        <w:tc>
          <w:tcPr>
            <w:tcW w:w="5175" w:type="dxa"/>
            <w:vAlign w:val="center"/>
            <w:hideMark/>
          </w:tcPr>
          <w:p w:rsidR="009A5C0F" w:rsidRPr="009A5C0F" w:rsidRDefault="009A5C0F" w:rsidP="009A5C0F">
            <w:pPr>
              <w:pStyle w:val="BodyText31"/>
              <w:jc w:val="left"/>
              <w:rPr>
                <w:color w:val="auto"/>
              </w:rPr>
            </w:pPr>
            <w:r w:rsidRPr="009A5C0F">
              <w:rPr>
                <w:color w:val="auto"/>
              </w:rPr>
              <w:t>FILTRE, YAG</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37</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3010270059445</w:t>
            </w:r>
          </w:p>
        </w:tc>
        <w:tc>
          <w:tcPr>
            <w:tcW w:w="5175" w:type="dxa"/>
            <w:vAlign w:val="center"/>
            <w:hideMark/>
          </w:tcPr>
          <w:p w:rsidR="009A5C0F" w:rsidRPr="009A5C0F" w:rsidRDefault="009A5C0F" w:rsidP="009A5C0F">
            <w:pPr>
              <w:pStyle w:val="BodyText31"/>
              <w:jc w:val="left"/>
              <w:rPr>
                <w:color w:val="auto"/>
              </w:rPr>
            </w:pPr>
            <w:r w:rsidRPr="009A5C0F">
              <w:rPr>
                <w:color w:val="auto"/>
              </w:rPr>
              <w:t>‌DİREKSİYON FİLTRESİ</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38</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5930270058716</w:t>
            </w:r>
          </w:p>
        </w:tc>
        <w:tc>
          <w:tcPr>
            <w:tcW w:w="5175" w:type="dxa"/>
            <w:vAlign w:val="center"/>
            <w:hideMark/>
          </w:tcPr>
          <w:p w:rsidR="009A5C0F" w:rsidRPr="009A5C0F" w:rsidRDefault="009A5C0F" w:rsidP="009A5C0F">
            <w:pPr>
              <w:pStyle w:val="BodyText31"/>
              <w:jc w:val="left"/>
              <w:rPr>
                <w:color w:val="auto"/>
              </w:rPr>
            </w:pPr>
            <w:r w:rsidRPr="009A5C0F">
              <w:rPr>
                <w:color w:val="auto"/>
              </w:rPr>
              <w:t>‌ISITICI ANAHTARI</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39</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2940270060358</w:t>
            </w:r>
          </w:p>
        </w:tc>
        <w:tc>
          <w:tcPr>
            <w:tcW w:w="5175" w:type="dxa"/>
            <w:vAlign w:val="center"/>
            <w:hideMark/>
          </w:tcPr>
          <w:p w:rsidR="009A5C0F" w:rsidRPr="009A5C0F" w:rsidRDefault="009A5C0F" w:rsidP="00BD5EE1">
            <w:pPr>
              <w:pStyle w:val="BodyText31"/>
              <w:jc w:val="left"/>
              <w:rPr>
                <w:color w:val="auto"/>
              </w:rPr>
            </w:pPr>
            <w:r w:rsidRPr="009A5C0F">
              <w:rPr>
                <w:color w:val="auto"/>
              </w:rPr>
              <w:t>‌FİLİTRE; HAVA DIŞ ( ELEMAN )</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40</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5945270530783</w:t>
            </w:r>
          </w:p>
        </w:tc>
        <w:tc>
          <w:tcPr>
            <w:tcW w:w="5175" w:type="dxa"/>
            <w:vAlign w:val="center"/>
            <w:hideMark/>
          </w:tcPr>
          <w:p w:rsidR="009A5C0F" w:rsidRPr="009A5C0F" w:rsidRDefault="009A5C0F" w:rsidP="009A5C0F">
            <w:pPr>
              <w:pStyle w:val="BodyText31"/>
              <w:jc w:val="left"/>
              <w:rPr>
                <w:color w:val="auto"/>
              </w:rPr>
            </w:pPr>
            <w:r w:rsidRPr="009A5C0F">
              <w:rPr>
                <w:color w:val="auto"/>
              </w:rPr>
              <w:t>‌RÖLE, ELEKTROMANYETIK DEVRE KESİCİ</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41</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4720007409405</w:t>
            </w:r>
          </w:p>
        </w:tc>
        <w:tc>
          <w:tcPr>
            <w:tcW w:w="5175" w:type="dxa"/>
            <w:vAlign w:val="center"/>
            <w:hideMark/>
          </w:tcPr>
          <w:p w:rsidR="009A5C0F" w:rsidRPr="009A5C0F" w:rsidRDefault="009A5C0F" w:rsidP="009A5C0F">
            <w:pPr>
              <w:pStyle w:val="BodyText31"/>
              <w:jc w:val="left"/>
              <w:rPr>
                <w:color w:val="auto"/>
              </w:rPr>
            </w:pPr>
            <w:r w:rsidRPr="009A5C0F">
              <w:rPr>
                <w:color w:val="auto"/>
              </w:rPr>
              <w:t>HORTUM BENZİN</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10</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42</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2540270162235</w:t>
            </w:r>
          </w:p>
        </w:tc>
        <w:tc>
          <w:tcPr>
            <w:tcW w:w="5175" w:type="dxa"/>
            <w:vAlign w:val="center"/>
            <w:hideMark/>
          </w:tcPr>
          <w:p w:rsidR="009A5C0F" w:rsidRPr="009A5C0F" w:rsidRDefault="009A5C0F" w:rsidP="009A5C0F">
            <w:pPr>
              <w:pStyle w:val="BodyText31"/>
              <w:jc w:val="left"/>
              <w:rPr>
                <w:color w:val="auto"/>
              </w:rPr>
            </w:pPr>
            <w:r w:rsidRPr="009A5C0F">
              <w:rPr>
                <w:color w:val="auto"/>
              </w:rPr>
              <w:t>‌AYNA KOMPLE DİKİZ</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43</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2540270410096</w:t>
            </w:r>
          </w:p>
        </w:tc>
        <w:tc>
          <w:tcPr>
            <w:tcW w:w="5175" w:type="dxa"/>
            <w:vAlign w:val="center"/>
            <w:hideMark/>
          </w:tcPr>
          <w:p w:rsidR="009A5C0F" w:rsidRPr="009A5C0F" w:rsidRDefault="009A5C0F" w:rsidP="009A5C0F">
            <w:pPr>
              <w:pStyle w:val="BodyText31"/>
              <w:jc w:val="left"/>
              <w:rPr>
                <w:color w:val="auto"/>
              </w:rPr>
            </w:pPr>
            <w:r w:rsidRPr="009A5C0F">
              <w:rPr>
                <w:color w:val="auto"/>
              </w:rPr>
              <w:t>‌AYNA, ÜST PERON VOLAT, TANKER</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hideMark/>
          </w:tcPr>
          <w:p w:rsidR="009A5C0F" w:rsidRPr="009A5C0F" w:rsidRDefault="009A5C0F" w:rsidP="009A5C0F">
            <w:pPr>
              <w:pStyle w:val="BodyText31"/>
              <w:jc w:val="center"/>
              <w:rPr>
                <w:color w:val="auto"/>
              </w:rPr>
            </w:pPr>
            <w:r w:rsidRPr="009A5C0F">
              <w:rPr>
                <w:color w:val="auto"/>
              </w:rPr>
              <w:t>44</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3040270191259</w:t>
            </w:r>
          </w:p>
        </w:tc>
        <w:tc>
          <w:tcPr>
            <w:tcW w:w="5175" w:type="dxa"/>
            <w:vAlign w:val="center"/>
            <w:hideMark/>
          </w:tcPr>
          <w:p w:rsidR="009A5C0F" w:rsidRPr="009A5C0F" w:rsidRDefault="009A5C0F" w:rsidP="009A5C0F">
            <w:pPr>
              <w:pStyle w:val="BodyText31"/>
              <w:jc w:val="left"/>
              <w:rPr>
                <w:color w:val="auto"/>
              </w:rPr>
            </w:pPr>
            <w:r w:rsidRPr="009A5C0F">
              <w:rPr>
                <w:color w:val="auto"/>
              </w:rPr>
              <w:t>‌KOL;</w:t>
            </w:r>
            <w:r w:rsidR="00BD5EE1">
              <w:rPr>
                <w:color w:val="auto"/>
              </w:rPr>
              <w:t xml:space="preserve"> </w:t>
            </w:r>
            <w:r w:rsidRPr="009A5C0F">
              <w:rPr>
                <w:color w:val="auto"/>
              </w:rPr>
              <w:t>CAM KALDIRMA</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67"/>
        </w:trPr>
        <w:tc>
          <w:tcPr>
            <w:tcW w:w="563" w:type="dxa"/>
            <w:noWrap/>
            <w:vAlign w:val="center"/>
          </w:tcPr>
          <w:p w:rsidR="009A5C0F" w:rsidRPr="009A5C0F" w:rsidRDefault="009A5C0F" w:rsidP="009A5C0F">
            <w:pPr>
              <w:pStyle w:val="BodyText31"/>
              <w:jc w:val="center"/>
              <w:rPr>
                <w:bCs/>
                <w:color w:val="auto"/>
                <w:u w:val="single"/>
              </w:rPr>
            </w:pPr>
            <w:r w:rsidRPr="009A5C0F">
              <w:rPr>
                <w:bCs/>
                <w:color w:val="auto"/>
                <w:u w:val="single"/>
              </w:rPr>
              <w:t>S. NO</w:t>
            </w:r>
          </w:p>
        </w:tc>
        <w:tc>
          <w:tcPr>
            <w:tcW w:w="1883" w:type="dxa"/>
            <w:noWrap/>
            <w:vAlign w:val="center"/>
          </w:tcPr>
          <w:p w:rsidR="009A5C0F" w:rsidRPr="009A5C0F" w:rsidRDefault="009A5C0F" w:rsidP="009A5C0F">
            <w:pPr>
              <w:pStyle w:val="BodyText31"/>
              <w:jc w:val="center"/>
              <w:rPr>
                <w:bCs/>
                <w:color w:val="auto"/>
                <w:u w:val="single"/>
              </w:rPr>
            </w:pPr>
            <w:r w:rsidRPr="009A5C0F">
              <w:rPr>
                <w:bCs/>
                <w:color w:val="auto"/>
                <w:u w:val="single"/>
              </w:rPr>
              <w:t>STOK NO</w:t>
            </w:r>
          </w:p>
        </w:tc>
        <w:tc>
          <w:tcPr>
            <w:tcW w:w="5175" w:type="dxa"/>
            <w:vAlign w:val="center"/>
          </w:tcPr>
          <w:p w:rsidR="009A5C0F" w:rsidRPr="009A5C0F" w:rsidRDefault="009A5C0F" w:rsidP="009A5C0F">
            <w:pPr>
              <w:pStyle w:val="BodyText31"/>
              <w:jc w:val="center"/>
              <w:rPr>
                <w:bCs/>
                <w:color w:val="auto"/>
                <w:u w:val="single"/>
              </w:rPr>
            </w:pPr>
            <w:r w:rsidRPr="009A5C0F">
              <w:rPr>
                <w:bCs/>
                <w:color w:val="auto"/>
                <w:u w:val="single"/>
              </w:rPr>
              <w:t>MALZEMENİN CİNSİ</w:t>
            </w:r>
          </w:p>
        </w:tc>
        <w:tc>
          <w:tcPr>
            <w:tcW w:w="1990" w:type="dxa"/>
            <w:gridSpan w:val="2"/>
            <w:noWrap/>
            <w:vAlign w:val="center"/>
          </w:tcPr>
          <w:p w:rsidR="009A5C0F" w:rsidRPr="009A5C0F" w:rsidRDefault="009A5C0F" w:rsidP="009A5C0F">
            <w:pPr>
              <w:pStyle w:val="BodyText31"/>
              <w:jc w:val="center"/>
              <w:rPr>
                <w:bCs/>
                <w:color w:val="auto"/>
                <w:u w:val="single"/>
              </w:rPr>
            </w:pPr>
            <w:r w:rsidRPr="009A5C0F">
              <w:rPr>
                <w:bCs/>
                <w:color w:val="auto"/>
                <w:u w:val="single"/>
              </w:rPr>
              <w:t>MİKTARI</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45</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5325270409911</w:t>
            </w:r>
          </w:p>
        </w:tc>
        <w:tc>
          <w:tcPr>
            <w:tcW w:w="5175" w:type="dxa"/>
            <w:vAlign w:val="center"/>
            <w:hideMark/>
          </w:tcPr>
          <w:p w:rsidR="009A5C0F" w:rsidRPr="009A5C0F" w:rsidRDefault="009A5C0F" w:rsidP="009A5C0F">
            <w:pPr>
              <w:pStyle w:val="BodyText31"/>
              <w:jc w:val="left"/>
              <w:rPr>
                <w:color w:val="auto"/>
              </w:rPr>
            </w:pPr>
            <w:r w:rsidRPr="009A5C0F">
              <w:rPr>
                <w:color w:val="auto"/>
              </w:rPr>
              <w:t>‌SEGMAN,</w:t>
            </w:r>
            <w:r w:rsidR="00BD5EE1">
              <w:rPr>
                <w:color w:val="auto"/>
              </w:rPr>
              <w:t xml:space="preserve"> </w:t>
            </w:r>
            <w:r w:rsidRPr="009A5C0F">
              <w:rPr>
                <w:color w:val="auto"/>
              </w:rPr>
              <w:t>KAPI KOL,VOLAT TANKER</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3</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46</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2910KK0059861</w:t>
            </w:r>
          </w:p>
        </w:tc>
        <w:tc>
          <w:tcPr>
            <w:tcW w:w="5175" w:type="dxa"/>
            <w:vAlign w:val="center"/>
            <w:hideMark/>
          </w:tcPr>
          <w:p w:rsidR="009A5C0F" w:rsidRPr="009A5C0F" w:rsidRDefault="009A5C0F" w:rsidP="009A5C0F">
            <w:pPr>
              <w:pStyle w:val="BodyText31"/>
              <w:jc w:val="left"/>
              <w:rPr>
                <w:color w:val="auto"/>
              </w:rPr>
            </w:pPr>
            <w:r w:rsidRPr="009A5C0F">
              <w:rPr>
                <w:color w:val="auto"/>
              </w:rPr>
              <w:t>FİLTRE ELEMANI</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47</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2640270518925</w:t>
            </w:r>
          </w:p>
        </w:tc>
        <w:tc>
          <w:tcPr>
            <w:tcW w:w="5175" w:type="dxa"/>
            <w:vAlign w:val="center"/>
            <w:hideMark/>
          </w:tcPr>
          <w:p w:rsidR="009A5C0F" w:rsidRPr="009A5C0F" w:rsidRDefault="009A5C0F" w:rsidP="009A5C0F">
            <w:pPr>
              <w:pStyle w:val="BodyText31"/>
              <w:jc w:val="left"/>
              <w:rPr>
                <w:color w:val="auto"/>
              </w:rPr>
            </w:pPr>
            <w:r w:rsidRPr="009A5C0F">
              <w:rPr>
                <w:color w:val="auto"/>
              </w:rPr>
              <w:t>‌DUBLEKS LASTİK YAMASI-5</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8</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48</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2510270353835</w:t>
            </w:r>
          </w:p>
        </w:tc>
        <w:tc>
          <w:tcPr>
            <w:tcW w:w="5175" w:type="dxa"/>
            <w:vAlign w:val="center"/>
            <w:hideMark/>
          </w:tcPr>
          <w:p w:rsidR="009A5C0F" w:rsidRPr="009A5C0F" w:rsidRDefault="009A5C0F" w:rsidP="009A5C0F">
            <w:pPr>
              <w:pStyle w:val="BodyText31"/>
              <w:jc w:val="left"/>
              <w:rPr>
                <w:color w:val="auto"/>
              </w:rPr>
            </w:pPr>
            <w:r w:rsidRPr="009A5C0F">
              <w:rPr>
                <w:color w:val="auto"/>
              </w:rPr>
              <w:t>‌PANEL, TAVAN KOMPLE (TAVAN DÖŞEMESİ)</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49</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4730270616118</w:t>
            </w:r>
          </w:p>
        </w:tc>
        <w:tc>
          <w:tcPr>
            <w:tcW w:w="5175" w:type="dxa"/>
            <w:vAlign w:val="center"/>
            <w:hideMark/>
          </w:tcPr>
          <w:p w:rsidR="009A5C0F" w:rsidRPr="009A5C0F" w:rsidRDefault="009A5C0F" w:rsidP="009A5C0F">
            <w:pPr>
              <w:pStyle w:val="BodyText31"/>
              <w:jc w:val="left"/>
              <w:rPr>
                <w:color w:val="auto"/>
              </w:rPr>
            </w:pPr>
            <w:r w:rsidRPr="009A5C0F">
              <w:rPr>
                <w:color w:val="auto"/>
              </w:rPr>
              <w:t>‌PATENT DİRSEK 1-1/2''</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60</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50</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2590270094221</w:t>
            </w:r>
          </w:p>
        </w:tc>
        <w:tc>
          <w:tcPr>
            <w:tcW w:w="5175" w:type="dxa"/>
            <w:vAlign w:val="center"/>
            <w:hideMark/>
          </w:tcPr>
          <w:p w:rsidR="009A5C0F" w:rsidRPr="009A5C0F" w:rsidRDefault="009A5C0F" w:rsidP="009A5C0F">
            <w:pPr>
              <w:pStyle w:val="BodyText31"/>
              <w:jc w:val="left"/>
              <w:rPr>
                <w:color w:val="auto"/>
              </w:rPr>
            </w:pPr>
            <w:r w:rsidRPr="009A5C0F">
              <w:rPr>
                <w:color w:val="auto"/>
              </w:rPr>
              <w:t>‌KAPAK-ÜST,</w:t>
            </w:r>
            <w:r w:rsidR="00BD5EE1">
              <w:rPr>
                <w:color w:val="auto"/>
              </w:rPr>
              <w:t xml:space="preserve"> </w:t>
            </w:r>
            <w:r w:rsidRPr="009A5C0F">
              <w:rPr>
                <w:color w:val="auto"/>
              </w:rPr>
              <w:t>TORPİDO ÜST PARÇASI</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51</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2920270088034</w:t>
            </w:r>
          </w:p>
        </w:tc>
        <w:tc>
          <w:tcPr>
            <w:tcW w:w="5175" w:type="dxa"/>
            <w:vAlign w:val="center"/>
            <w:hideMark/>
          </w:tcPr>
          <w:p w:rsidR="009A5C0F" w:rsidRPr="009A5C0F" w:rsidRDefault="009A5C0F" w:rsidP="009A5C0F">
            <w:pPr>
              <w:pStyle w:val="BodyText31"/>
              <w:jc w:val="left"/>
              <w:rPr>
                <w:color w:val="auto"/>
              </w:rPr>
            </w:pPr>
            <w:r w:rsidRPr="009A5C0F">
              <w:rPr>
                <w:color w:val="auto"/>
              </w:rPr>
              <w:t>SOKET</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52</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2510KK0386303</w:t>
            </w:r>
          </w:p>
        </w:tc>
        <w:tc>
          <w:tcPr>
            <w:tcW w:w="5175" w:type="dxa"/>
            <w:vAlign w:val="center"/>
            <w:hideMark/>
          </w:tcPr>
          <w:p w:rsidR="009A5C0F" w:rsidRPr="009A5C0F" w:rsidRDefault="009A5C0F" w:rsidP="009A5C0F">
            <w:pPr>
              <w:pStyle w:val="BodyText31"/>
              <w:jc w:val="left"/>
              <w:rPr>
                <w:color w:val="auto"/>
              </w:rPr>
            </w:pPr>
            <w:r w:rsidRPr="009A5C0F">
              <w:rPr>
                <w:color w:val="auto"/>
              </w:rPr>
              <w:t>‌KAPAK, AKÜ MUHAFAZA</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53</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3110KK0149103</w:t>
            </w:r>
          </w:p>
        </w:tc>
        <w:tc>
          <w:tcPr>
            <w:tcW w:w="5175" w:type="dxa"/>
            <w:vAlign w:val="center"/>
            <w:hideMark/>
          </w:tcPr>
          <w:p w:rsidR="009A5C0F" w:rsidRPr="009A5C0F" w:rsidRDefault="009A5C0F" w:rsidP="009A5C0F">
            <w:pPr>
              <w:pStyle w:val="BodyText31"/>
              <w:jc w:val="left"/>
              <w:rPr>
                <w:color w:val="auto"/>
              </w:rPr>
            </w:pPr>
            <w:r w:rsidRPr="009A5C0F">
              <w:rPr>
                <w:color w:val="auto"/>
              </w:rPr>
              <w:t>‌DEBRİYAJ BİLYASI</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54</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2510270342615</w:t>
            </w:r>
          </w:p>
        </w:tc>
        <w:tc>
          <w:tcPr>
            <w:tcW w:w="5175" w:type="dxa"/>
            <w:vAlign w:val="center"/>
            <w:hideMark/>
          </w:tcPr>
          <w:p w:rsidR="009A5C0F" w:rsidRPr="009A5C0F" w:rsidRDefault="009A5C0F" w:rsidP="009A5C0F">
            <w:pPr>
              <w:pStyle w:val="BodyText31"/>
              <w:jc w:val="left"/>
              <w:rPr>
                <w:color w:val="auto"/>
              </w:rPr>
            </w:pPr>
            <w:r w:rsidRPr="009A5C0F">
              <w:rPr>
                <w:color w:val="auto"/>
              </w:rPr>
              <w:t>‌ÇAMURLUK ARKA BOYASIZ</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4</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55</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2540270346268</w:t>
            </w:r>
          </w:p>
        </w:tc>
        <w:tc>
          <w:tcPr>
            <w:tcW w:w="5175" w:type="dxa"/>
            <w:vAlign w:val="center"/>
            <w:hideMark/>
          </w:tcPr>
          <w:p w:rsidR="009A5C0F" w:rsidRPr="009A5C0F" w:rsidRDefault="009A5C0F" w:rsidP="009A5C0F">
            <w:pPr>
              <w:pStyle w:val="BodyText31"/>
              <w:jc w:val="left"/>
              <w:rPr>
                <w:color w:val="auto"/>
              </w:rPr>
            </w:pPr>
            <w:r w:rsidRPr="009A5C0F">
              <w:rPr>
                <w:color w:val="auto"/>
              </w:rPr>
              <w:t>‌CAM SİLECEK KOLU,</w:t>
            </w:r>
            <w:r w:rsidR="00BD5EE1">
              <w:rPr>
                <w:color w:val="auto"/>
              </w:rPr>
              <w:t xml:space="preserve"> </w:t>
            </w:r>
            <w:r w:rsidRPr="009A5C0F">
              <w:rPr>
                <w:color w:val="auto"/>
              </w:rPr>
              <w:t>SOL</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56</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2540270346269</w:t>
            </w:r>
          </w:p>
        </w:tc>
        <w:tc>
          <w:tcPr>
            <w:tcW w:w="5175" w:type="dxa"/>
            <w:vAlign w:val="center"/>
            <w:hideMark/>
          </w:tcPr>
          <w:p w:rsidR="009A5C0F" w:rsidRPr="009A5C0F" w:rsidRDefault="009A5C0F" w:rsidP="009A5C0F">
            <w:pPr>
              <w:pStyle w:val="BodyText31"/>
              <w:jc w:val="left"/>
              <w:rPr>
                <w:color w:val="auto"/>
              </w:rPr>
            </w:pPr>
            <w:r w:rsidRPr="009A5C0F">
              <w:rPr>
                <w:color w:val="auto"/>
              </w:rPr>
              <w:t>‌CAM SİLECEK KOLU,</w:t>
            </w:r>
            <w:r w:rsidR="00BD5EE1">
              <w:rPr>
                <w:color w:val="auto"/>
              </w:rPr>
              <w:t xml:space="preserve"> </w:t>
            </w:r>
            <w:r w:rsidRPr="009A5C0F">
              <w:rPr>
                <w:color w:val="auto"/>
              </w:rPr>
              <w:t>SAĞ</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57</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2540270346270</w:t>
            </w:r>
          </w:p>
        </w:tc>
        <w:tc>
          <w:tcPr>
            <w:tcW w:w="5175" w:type="dxa"/>
            <w:vAlign w:val="center"/>
            <w:hideMark/>
          </w:tcPr>
          <w:p w:rsidR="009A5C0F" w:rsidRPr="009A5C0F" w:rsidRDefault="009A5C0F" w:rsidP="00BD5EE1">
            <w:pPr>
              <w:pStyle w:val="BodyText31"/>
              <w:jc w:val="left"/>
              <w:rPr>
                <w:color w:val="auto"/>
              </w:rPr>
            </w:pPr>
            <w:r w:rsidRPr="009A5C0F">
              <w:rPr>
                <w:color w:val="auto"/>
              </w:rPr>
              <w:t>‌FIRÇA; SİLECEK (KOMPLE)</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58</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2540270353847</w:t>
            </w:r>
          </w:p>
        </w:tc>
        <w:tc>
          <w:tcPr>
            <w:tcW w:w="5175" w:type="dxa"/>
            <w:vAlign w:val="center"/>
            <w:hideMark/>
          </w:tcPr>
          <w:p w:rsidR="009A5C0F" w:rsidRPr="009A5C0F" w:rsidRDefault="009A5C0F" w:rsidP="009A5C0F">
            <w:pPr>
              <w:pStyle w:val="BodyText31"/>
              <w:jc w:val="left"/>
              <w:rPr>
                <w:color w:val="auto"/>
              </w:rPr>
            </w:pPr>
            <w:r w:rsidRPr="009A5C0F">
              <w:rPr>
                <w:color w:val="auto"/>
              </w:rPr>
              <w:t>‌PASPAS,</w:t>
            </w:r>
            <w:r w:rsidR="00BD5EE1">
              <w:rPr>
                <w:color w:val="auto"/>
              </w:rPr>
              <w:t xml:space="preserve"> </w:t>
            </w:r>
            <w:r w:rsidRPr="009A5C0F">
              <w:rPr>
                <w:color w:val="auto"/>
              </w:rPr>
              <w:t>KOMPLE TABAN SAĞ</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59</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2540270353850</w:t>
            </w:r>
          </w:p>
        </w:tc>
        <w:tc>
          <w:tcPr>
            <w:tcW w:w="5175" w:type="dxa"/>
            <w:vAlign w:val="center"/>
            <w:hideMark/>
          </w:tcPr>
          <w:p w:rsidR="009A5C0F" w:rsidRPr="009A5C0F" w:rsidRDefault="009A5C0F" w:rsidP="009A5C0F">
            <w:pPr>
              <w:pStyle w:val="BodyText31"/>
              <w:jc w:val="left"/>
              <w:rPr>
                <w:color w:val="auto"/>
              </w:rPr>
            </w:pPr>
            <w:r w:rsidRPr="009A5C0F">
              <w:rPr>
                <w:color w:val="auto"/>
              </w:rPr>
              <w:t>‌PASPAS,</w:t>
            </w:r>
            <w:r w:rsidR="00BD5EE1">
              <w:rPr>
                <w:color w:val="auto"/>
              </w:rPr>
              <w:t xml:space="preserve"> </w:t>
            </w:r>
            <w:r w:rsidRPr="009A5C0F">
              <w:rPr>
                <w:color w:val="auto"/>
              </w:rPr>
              <w:t>KOMPLE TABAN SOL</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60</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5325270353808</w:t>
            </w:r>
          </w:p>
        </w:tc>
        <w:tc>
          <w:tcPr>
            <w:tcW w:w="5175" w:type="dxa"/>
            <w:vAlign w:val="center"/>
            <w:hideMark/>
          </w:tcPr>
          <w:p w:rsidR="009A5C0F" w:rsidRPr="009A5C0F" w:rsidRDefault="009A5C0F" w:rsidP="009A5C0F">
            <w:pPr>
              <w:pStyle w:val="BodyText31"/>
              <w:jc w:val="left"/>
              <w:rPr>
                <w:color w:val="auto"/>
              </w:rPr>
            </w:pPr>
            <w:r w:rsidRPr="009A5C0F">
              <w:rPr>
                <w:color w:val="auto"/>
              </w:rPr>
              <w:t>‌DÜBEL, TAVAN DÖŞEME</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30</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61</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5930270056122</w:t>
            </w:r>
          </w:p>
        </w:tc>
        <w:tc>
          <w:tcPr>
            <w:tcW w:w="5175" w:type="dxa"/>
            <w:vAlign w:val="center"/>
            <w:hideMark/>
          </w:tcPr>
          <w:p w:rsidR="009A5C0F" w:rsidRPr="009A5C0F" w:rsidRDefault="009A5C0F" w:rsidP="009A5C0F">
            <w:pPr>
              <w:pStyle w:val="BodyText31"/>
              <w:jc w:val="left"/>
              <w:rPr>
                <w:color w:val="auto"/>
              </w:rPr>
            </w:pPr>
            <w:r w:rsidRPr="009A5C0F">
              <w:rPr>
                <w:color w:val="auto"/>
              </w:rPr>
              <w:t>‌DÜĞME,</w:t>
            </w:r>
            <w:r w:rsidR="00BD5EE1">
              <w:rPr>
                <w:color w:val="auto"/>
              </w:rPr>
              <w:t xml:space="preserve"> </w:t>
            </w:r>
            <w:r w:rsidRPr="009A5C0F">
              <w:rPr>
                <w:color w:val="auto"/>
              </w:rPr>
              <w:t>BASMA KAPI SİWİC</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62</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6220270346362</w:t>
            </w:r>
          </w:p>
        </w:tc>
        <w:tc>
          <w:tcPr>
            <w:tcW w:w="5175" w:type="dxa"/>
            <w:vAlign w:val="center"/>
            <w:hideMark/>
          </w:tcPr>
          <w:p w:rsidR="009A5C0F" w:rsidRPr="009A5C0F" w:rsidRDefault="009A5C0F" w:rsidP="009A5C0F">
            <w:pPr>
              <w:pStyle w:val="BodyText31"/>
              <w:jc w:val="left"/>
              <w:rPr>
                <w:color w:val="auto"/>
              </w:rPr>
            </w:pPr>
            <w:r w:rsidRPr="009A5C0F">
              <w:rPr>
                <w:color w:val="auto"/>
              </w:rPr>
              <w:t>‌LAMBA,T</w:t>
            </w:r>
            <w:r w:rsidR="00BD5EE1">
              <w:rPr>
                <w:color w:val="auto"/>
              </w:rPr>
              <w:t xml:space="preserve"> </w:t>
            </w:r>
            <w:r w:rsidRPr="009A5C0F">
              <w:rPr>
                <w:color w:val="auto"/>
              </w:rPr>
              <w:t>EPE (SAĞ) ARAÇ</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63</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6220270346366</w:t>
            </w:r>
          </w:p>
        </w:tc>
        <w:tc>
          <w:tcPr>
            <w:tcW w:w="5175" w:type="dxa"/>
            <w:vAlign w:val="center"/>
            <w:hideMark/>
          </w:tcPr>
          <w:p w:rsidR="009A5C0F" w:rsidRPr="009A5C0F" w:rsidRDefault="009A5C0F" w:rsidP="009A5C0F">
            <w:pPr>
              <w:pStyle w:val="BodyText31"/>
              <w:jc w:val="left"/>
              <w:rPr>
                <w:color w:val="auto"/>
              </w:rPr>
            </w:pPr>
            <w:r w:rsidRPr="009A5C0F">
              <w:rPr>
                <w:color w:val="auto"/>
              </w:rPr>
              <w:t>‌LAMBA,</w:t>
            </w:r>
            <w:r w:rsidR="00BD5EE1">
              <w:rPr>
                <w:color w:val="auto"/>
              </w:rPr>
              <w:t xml:space="preserve"> </w:t>
            </w:r>
            <w:r w:rsidRPr="009A5C0F">
              <w:rPr>
                <w:color w:val="auto"/>
              </w:rPr>
              <w:t>TEPE  (SOL) ,ARAÇ</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64</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6220270361550</w:t>
            </w:r>
          </w:p>
        </w:tc>
        <w:tc>
          <w:tcPr>
            <w:tcW w:w="5175" w:type="dxa"/>
            <w:vAlign w:val="center"/>
            <w:hideMark/>
          </w:tcPr>
          <w:p w:rsidR="009A5C0F" w:rsidRPr="009A5C0F" w:rsidRDefault="009A5C0F" w:rsidP="00BD5EE1">
            <w:pPr>
              <w:pStyle w:val="BodyText31"/>
              <w:jc w:val="left"/>
              <w:rPr>
                <w:color w:val="auto"/>
              </w:rPr>
            </w:pPr>
            <w:r w:rsidRPr="009A5C0F">
              <w:rPr>
                <w:color w:val="auto"/>
              </w:rPr>
              <w:t>‌LAMBA, SİNYAL, ÖN,</w:t>
            </w:r>
            <w:r w:rsidR="00BD5EE1">
              <w:rPr>
                <w:color w:val="auto"/>
              </w:rPr>
              <w:t xml:space="preserve"> </w:t>
            </w:r>
            <w:r w:rsidRPr="009A5C0F">
              <w:rPr>
                <w:color w:val="auto"/>
              </w:rPr>
              <w:t>SOL,  ÇAMURLUK ÜZERİ</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65</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6220270362625</w:t>
            </w:r>
          </w:p>
        </w:tc>
        <w:tc>
          <w:tcPr>
            <w:tcW w:w="5175" w:type="dxa"/>
            <w:vAlign w:val="center"/>
            <w:hideMark/>
          </w:tcPr>
          <w:p w:rsidR="009A5C0F" w:rsidRPr="009A5C0F" w:rsidRDefault="009A5C0F" w:rsidP="009A5C0F">
            <w:pPr>
              <w:pStyle w:val="BodyText31"/>
              <w:jc w:val="left"/>
              <w:rPr>
                <w:color w:val="auto"/>
              </w:rPr>
            </w:pPr>
            <w:r w:rsidRPr="009A5C0F">
              <w:rPr>
                <w:color w:val="auto"/>
              </w:rPr>
              <w:t>LAMBA,</w:t>
            </w:r>
            <w:r w:rsidR="00BD5EE1">
              <w:rPr>
                <w:color w:val="auto"/>
              </w:rPr>
              <w:t xml:space="preserve"> </w:t>
            </w:r>
            <w:r w:rsidRPr="009A5C0F">
              <w:rPr>
                <w:color w:val="auto"/>
              </w:rPr>
              <w:t>SİS</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2</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66</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6220270363954</w:t>
            </w:r>
          </w:p>
        </w:tc>
        <w:tc>
          <w:tcPr>
            <w:tcW w:w="5175" w:type="dxa"/>
            <w:vAlign w:val="center"/>
            <w:hideMark/>
          </w:tcPr>
          <w:p w:rsidR="009A5C0F" w:rsidRPr="009A5C0F" w:rsidRDefault="009A5C0F" w:rsidP="009A5C0F">
            <w:pPr>
              <w:pStyle w:val="BodyText31"/>
              <w:jc w:val="left"/>
              <w:rPr>
                <w:color w:val="auto"/>
              </w:rPr>
            </w:pPr>
            <w:r w:rsidRPr="009A5C0F">
              <w:rPr>
                <w:color w:val="auto"/>
              </w:rPr>
              <w:t>FAR</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3</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563" w:type="dxa"/>
            <w:noWrap/>
            <w:vAlign w:val="center"/>
            <w:hideMark/>
          </w:tcPr>
          <w:p w:rsidR="009A5C0F" w:rsidRPr="009A5C0F" w:rsidRDefault="009A5C0F" w:rsidP="009A5C0F">
            <w:pPr>
              <w:pStyle w:val="BodyText31"/>
              <w:jc w:val="center"/>
              <w:rPr>
                <w:color w:val="auto"/>
              </w:rPr>
            </w:pPr>
            <w:r w:rsidRPr="009A5C0F">
              <w:rPr>
                <w:color w:val="auto"/>
              </w:rPr>
              <w:t>67</w:t>
            </w:r>
          </w:p>
        </w:tc>
        <w:tc>
          <w:tcPr>
            <w:tcW w:w="1883" w:type="dxa"/>
            <w:noWrap/>
            <w:vAlign w:val="center"/>
            <w:hideMark/>
          </w:tcPr>
          <w:p w:rsidR="009A5C0F" w:rsidRPr="009A5C0F" w:rsidRDefault="009A5C0F" w:rsidP="009A5C0F">
            <w:pPr>
              <w:pStyle w:val="BodyText31"/>
              <w:jc w:val="center"/>
              <w:rPr>
                <w:color w:val="auto"/>
              </w:rPr>
            </w:pPr>
            <w:r w:rsidRPr="009A5C0F">
              <w:rPr>
                <w:color w:val="auto"/>
              </w:rPr>
              <w:t>6680270362562</w:t>
            </w:r>
          </w:p>
        </w:tc>
        <w:tc>
          <w:tcPr>
            <w:tcW w:w="5175" w:type="dxa"/>
            <w:vAlign w:val="center"/>
            <w:hideMark/>
          </w:tcPr>
          <w:p w:rsidR="009A5C0F" w:rsidRPr="009A5C0F" w:rsidRDefault="009A5C0F" w:rsidP="009A5C0F">
            <w:pPr>
              <w:pStyle w:val="BodyText31"/>
              <w:jc w:val="left"/>
              <w:rPr>
                <w:color w:val="auto"/>
              </w:rPr>
            </w:pPr>
            <w:r w:rsidRPr="009A5C0F">
              <w:rPr>
                <w:color w:val="auto"/>
              </w:rPr>
              <w:t>‌KAPAK, YAKIT DEPOSU İÇİN</w:t>
            </w:r>
          </w:p>
        </w:tc>
        <w:tc>
          <w:tcPr>
            <w:tcW w:w="992" w:type="dxa"/>
            <w:noWrap/>
            <w:vAlign w:val="center"/>
            <w:hideMark/>
          </w:tcPr>
          <w:p w:rsidR="009A5C0F" w:rsidRPr="009A5C0F" w:rsidRDefault="009A5C0F" w:rsidP="009A5C0F">
            <w:pPr>
              <w:pStyle w:val="BodyText31"/>
              <w:jc w:val="center"/>
              <w:rPr>
                <w:color w:val="auto"/>
              </w:rPr>
            </w:pPr>
            <w:r w:rsidRPr="009A5C0F">
              <w:rPr>
                <w:color w:val="auto"/>
              </w:rPr>
              <w:t>1</w:t>
            </w:r>
          </w:p>
        </w:tc>
        <w:tc>
          <w:tcPr>
            <w:tcW w:w="998" w:type="dxa"/>
            <w:noWrap/>
            <w:vAlign w:val="center"/>
            <w:hideMark/>
          </w:tcPr>
          <w:p w:rsidR="009A5C0F" w:rsidRPr="009A5C0F" w:rsidRDefault="009A5C0F" w:rsidP="009A5C0F">
            <w:pPr>
              <w:pStyle w:val="BodyText31"/>
              <w:jc w:val="center"/>
              <w:rPr>
                <w:color w:val="auto"/>
              </w:rPr>
            </w:pPr>
            <w:r w:rsidRPr="009A5C0F">
              <w:rPr>
                <w:color w:val="auto"/>
              </w:rPr>
              <w:t>AD</w:t>
            </w:r>
          </w:p>
        </w:tc>
      </w:tr>
      <w:tr w:rsidR="009A5C0F" w:rsidRPr="009A5C0F" w:rsidTr="009A5C0F">
        <w:trPr>
          <w:gridAfter w:val="1"/>
          <w:wAfter w:w="12" w:type="dxa"/>
          <w:trHeight w:val="510"/>
        </w:trPr>
        <w:tc>
          <w:tcPr>
            <w:tcW w:w="9611" w:type="dxa"/>
            <w:gridSpan w:val="5"/>
            <w:noWrap/>
            <w:vAlign w:val="center"/>
          </w:tcPr>
          <w:p w:rsidR="009A5C0F" w:rsidRPr="009A5C0F" w:rsidRDefault="009A5C0F" w:rsidP="009A5C0F">
            <w:pPr>
              <w:pStyle w:val="BodyText31"/>
              <w:jc w:val="center"/>
              <w:rPr>
                <w:color w:val="auto"/>
              </w:rPr>
            </w:pPr>
            <w:r>
              <w:rPr>
                <w:color w:val="auto"/>
              </w:rPr>
              <w:t>///////////////////// YALNIZ ALTMIŞYEDİ (67)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Pr>
          <w:color w:val="auto"/>
        </w:rPr>
        <w:t xml:space="preserve"> </w:t>
      </w:r>
      <w:r w:rsidRPr="00667EAC">
        <w:rPr>
          <w:color w:val="auto"/>
        </w:rPr>
        <w:t>...........................................................................................................</w:t>
      </w:r>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w:t>
      </w:r>
      <w:r w:rsidR="00DF58C9">
        <w:rPr>
          <w:color w:val="0070C0"/>
        </w:rPr>
        <w:t xml:space="preserve"> </w:t>
      </w:r>
      <w:r>
        <w:rPr>
          <w:color w:val="0070C0"/>
        </w:rPr>
        <w:t>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DF58C9" w:rsidRDefault="00DF58C9" w:rsidP="00B16E7C">
      <w:pPr>
        <w:jc w:val="both"/>
        <w:rPr>
          <w:b/>
          <w:bCs/>
          <w:color w:val="auto"/>
        </w:rPr>
      </w:pPr>
    </w:p>
    <w:p w:rsidR="00DF58C9" w:rsidRDefault="00DF58C9"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041300">
        <w:rPr>
          <w:b/>
          <w:color w:val="FF0000"/>
        </w:rPr>
        <w:t>9</w:t>
      </w:r>
      <w:r w:rsidR="008271F5">
        <w:rPr>
          <w:b/>
          <w:color w:val="FF0000"/>
        </w:rPr>
        <w:t>0</w:t>
      </w:r>
      <w:r w:rsidR="00BA5EA7" w:rsidRPr="007A4FB9">
        <w:rPr>
          <w:b/>
          <w:color w:val="FF0000"/>
        </w:rPr>
        <w:t xml:space="preserve"> </w:t>
      </w:r>
      <w:r w:rsidR="00AC4ADC" w:rsidRPr="007A4FB9">
        <w:rPr>
          <w:b/>
          <w:color w:val="FF0000"/>
        </w:rPr>
        <w:t>(</w:t>
      </w:r>
      <w:r w:rsidR="00041300">
        <w:rPr>
          <w:b/>
          <w:color w:val="FF0000"/>
        </w:rPr>
        <w:t>Doksan</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r w:rsidR="00B16E7C" w:rsidRPr="00667EAC">
        <w:rPr>
          <w:color w:val="auto"/>
        </w:rPr>
        <w:t>..................................</w:t>
      </w:r>
      <w:r w:rsidR="00041300">
        <w:rPr>
          <w:color w:val="auto"/>
        </w:rPr>
        <w:t xml:space="preserve"> </w:t>
      </w:r>
      <w:r w:rsidR="00B16E7C" w:rsidRPr="00667EAC">
        <w:rPr>
          <w:color w:val="auto"/>
        </w:rPr>
        <w:t>......................................................................</w:t>
      </w:r>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DF58C9">
        <w:rPr>
          <w:color w:val="FF0000"/>
        </w:rPr>
        <w:t>2</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w:t>
      </w:r>
      <w:r w:rsidR="005C1E21">
        <w:rPr>
          <w:color w:val="FF0000"/>
        </w:rPr>
        <w:t>3</w:t>
      </w:r>
      <w:r w:rsidR="007A4FB9">
        <w:rPr>
          <w:color w:val="FF0000"/>
        </w:rPr>
        <w:t>-AFK70HD3</w:t>
      </w:r>
      <w:r w:rsidR="005C1E21">
        <w:rPr>
          <w:color w:val="FF0000"/>
        </w:rPr>
        <w:t>1</w:t>
      </w:r>
      <w:r w:rsidR="005C1E21" w:rsidRPr="004134EE">
        <w:rPr>
          <w:color w:val="FF0000"/>
        </w:rPr>
        <w:t xml:space="preserve"> </w:t>
      </w:r>
      <w:r w:rsidR="005C1E21">
        <w:rPr>
          <w:color w:val="FF0000"/>
        </w:rPr>
        <w:t>Tekerlekli</w:t>
      </w:r>
      <w:r w:rsidR="00260510">
        <w:rPr>
          <w:color w:val="FF0000"/>
        </w:rPr>
        <w:t xml:space="preserve"> Araç Yd.Prç.</w:t>
      </w:r>
      <w:r w:rsidR="00910A06">
        <w:rPr>
          <w:color w:val="FF0000"/>
        </w:rPr>
        <w:t xml:space="preserve"> </w:t>
      </w:r>
      <w:r w:rsidR="00041300">
        <w:rPr>
          <w:color w:val="FF0000"/>
        </w:rPr>
        <w:t>Alımı</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w:t>
      </w:r>
      <w:r w:rsidR="00713145">
        <w:rPr>
          <w:color w:val="auto"/>
          <w:sz w:val="24"/>
          <w:szCs w:val="24"/>
        </w:rPr>
        <w:t xml:space="preserve"> </w:t>
      </w:r>
      <w:r w:rsidRPr="00667EAC">
        <w:rPr>
          <w:color w:val="auto"/>
          <w:sz w:val="24"/>
          <w:szCs w:val="24"/>
        </w:rPr>
        <w:t>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r>
        <w:rPr>
          <w:bCs/>
          <w:color w:val="FF0000"/>
        </w:rPr>
        <w:t>c.</w:t>
      </w:r>
      <w:r w:rsidR="00605DFF">
        <w:rPr>
          <w:bCs/>
          <w:color w:val="FF0000"/>
        </w:rPr>
        <w:t xml:space="preserve"> </w:t>
      </w:r>
      <w:r>
        <w:rPr>
          <w:bCs/>
          <w:color w:val="FF0000"/>
        </w:rPr>
        <w:t>Malzemeler orijinal ambalajında olacaktır.</w:t>
      </w:r>
    </w:p>
    <w:p w:rsidR="00851A15" w:rsidRDefault="00851A15" w:rsidP="00087DD6">
      <w:pPr>
        <w:spacing w:before="120"/>
        <w:jc w:val="both"/>
        <w:rPr>
          <w:bCs/>
          <w:color w:val="FF0000"/>
        </w:rPr>
      </w:pPr>
    </w:p>
    <w:p w:rsidR="00851A15" w:rsidRDefault="00851A15" w:rsidP="00851A15">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851A15" w:rsidRPr="00910A06" w:rsidRDefault="00851A15" w:rsidP="00851A15">
      <w:pPr>
        <w:spacing w:before="120"/>
        <w:jc w:val="both"/>
        <w:rPr>
          <w:bCs/>
          <w:color w:val="FF0000"/>
        </w:rPr>
      </w:pPr>
      <w:r w:rsidRPr="000B75B7">
        <w:rPr>
          <w:color w:val="548DD4" w:themeColor="text2" w:themeTint="99"/>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9158CD" w:rsidRPr="00667EAC" w:rsidRDefault="009158C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713145" w:rsidRDefault="00713145"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011E70" w:rsidRPr="003F4E56" w:rsidRDefault="00011E70" w:rsidP="00011E70">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011E70" w:rsidRDefault="00011E70" w:rsidP="00011E70">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011E70" w:rsidRPr="001F2F45" w:rsidRDefault="00011E70" w:rsidP="00011E70">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011E70" w:rsidRPr="003F4E56" w:rsidRDefault="00011E70" w:rsidP="00011E70">
      <w:pPr>
        <w:spacing w:before="120"/>
        <w:jc w:val="both"/>
        <w:rPr>
          <w:b/>
          <w:bCs/>
          <w:color w:val="auto"/>
        </w:rPr>
      </w:pPr>
      <w:r w:rsidRPr="003F4E56">
        <w:rPr>
          <w:b/>
          <w:bCs/>
          <w:color w:val="auto"/>
        </w:rPr>
        <w:t>30.1.8. Fiziki Muayene:</w:t>
      </w:r>
    </w:p>
    <w:p w:rsidR="00011E70" w:rsidRPr="003F4E56" w:rsidRDefault="00011E70" w:rsidP="00011E70">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011E70" w:rsidRPr="003F4E56" w:rsidRDefault="00011E70" w:rsidP="00011E70">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011E70" w:rsidRPr="003F4E56" w:rsidRDefault="00011E70" w:rsidP="00011E70">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011E70" w:rsidRPr="003F4E56" w:rsidRDefault="00011E70" w:rsidP="00011E70">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011E70" w:rsidRDefault="00011E70" w:rsidP="00011E70">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011E70" w:rsidRPr="003F4E56" w:rsidRDefault="00011E70" w:rsidP="00011E70">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011E70" w:rsidRPr="003F4E56" w:rsidRDefault="00011E70" w:rsidP="00011E70">
      <w:pPr>
        <w:spacing w:before="120"/>
        <w:jc w:val="both"/>
        <w:rPr>
          <w:b/>
          <w:bCs/>
          <w:color w:val="auto"/>
        </w:rPr>
      </w:pPr>
      <w:r w:rsidRPr="003F4E56">
        <w:rPr>
          <w:b/>
          <w:bCs/>
          <w:color w:val="auto"/>
        </w:rPr>
        <w:t>30.1.9. Fonksiyon Testi:</w:t>
      </w:r>
    </w:p>
    <w:p w:rsidR="00011E70" w:rsidRPr="003F4E56" w:rsidRDefault="00011E70" w:rsidP="00011E70">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011E70" w:rsidRPr="003F4E56" w:rsidRDefault="00011E70" w:rsidP="00011E70">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011E70" w:rsidRPr="003F4E56" w:rsidRDefault="00011E70" w:rsidP="00011E70">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011E70" w:rsidRDefault="00011E70" w:rsidP="00011E70">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011E70" w:rsidRPr="001F2F45" w:rsidRDefault="00011E70" w:rsidP="00011E70">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011E70" w:rsidP="00011E70">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041300" w:rsidRDefault="0004130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 xml:space="preserve">30.1.19. Sözleşme konusu malzemelerin yapılan muayeneleri sonucunda 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B01077" w:rsidRPr="00B01077" w:rsidRDefault="00B01077" w:rsidP="00B01077">
      <w:pPr>
        <w:jc w:val="both"/>
        <w:rPr>
          <w:rFonts w:eastAsia="Times New Roman"/>
          <w:b/>
          <w:color w:val="auto"/>
        </w:rPr>
      </w:pPr>
      <w:r w:rsidRPr="00B01077">
        <w:rPr>
          <w:rFonts w:eastAsia="Times New Roman"/>
          <w:b/>
          <w:color w:val="auto"/>
        </w:rPr>
        <w:t xml:space="preserve">44.1. </w:t>
      </w:r>
    </w:p>
    <w:p w:rsidR="00B01077" w:rsidRPr="00B01077" w:rsidRDefault="00B01077" w:rsidP="00B01077">
      <w:pPr>
        <w:jc w:val="both"/>
        <w:rPr>
          <w:rFonts w:eastAsia="Times New Roman"/>
          <w:b/>
          <w:color w:val="auto"/>
        </w:rPr>
      </w:pPr>
      <w:r w:rsidRPr="00B01077">
        <w:rPr>
          <w:rFonts w:eastAsia="Times New Roman"/>
          <w:b/>
          <w:color w:val="auto"/>
        </w:rPr>
        <w:t xml:space="preserve">44.1.1.Sözleşme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44.1.2. Yüklenici, sözleşme süresi boyunca tedarik/ihtiyaç makamları bilgisi dahilinde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44.2.-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44.2.1.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44.2.2.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44.2.3. 56’ncı Bkm.Fb.Md.lüğünce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44.3.-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44.4.-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44.5.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44.5.1.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 xml:space="preserve">44.5.2.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44.6.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44.6.2.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01077" w:rsidRPr="00B01077" w:rsidRDefault="00B01077" w:rsidP="00B01077">
      <w:pPr>
        <w:jc w:val="both"/>
        <w:rPr>
          <w:rFonts w:eastAsia="Times New Roman"/>
          <w:b/>
          <w:color w:val="auto"/>
        </w:rPr>
      </w:pPr>
      <w:r w:rsidRPr="00B01077">
        <w:rPr>
          <w:rFonts w:eastAsia="Times New Roman"/>
          <w:b/>
          <w:color w:val="auto"/>
        </w:rPr>
        <w:t>44.6.3.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t xml:space="preserve">44.7.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713145" w:rsidRDefault="00713145" w:rsidP="00B01077">
      <w:pPr>
        <w:jc w:val="both"/>
        <w:rPr>
          <w:rFonts w:eastAsia="Times New Roman"/>
          <w:b/>
          <w:color w:val="auto"/>
        </w:rPr>
      </w:pPr>
    </w:p>
    <w:p w:rsidR="00713145" w:rsidRDefault="00713145"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44.8.2.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44.9.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44.10.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t>44.12.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011E70" w:rsidRDefault="00011E70" w:rsidP="00B01077">
      <w:pPr>
        <w:jc w:val="both"/>
        <w:rPr>
          <w:rFonts w:eastAsia="Times New Roman"/>
          <w:b/>
          <w:color w:val="auto"/>
        </w:rPr>
      </w:pPr>
      <w:r>
        <w:rPr>
          <w:rFonts w:eastAsia="Times New Roman"/>
          <w:b/>
          <w:color w:val="auto"/>
        </w:rPr>
        <w:t>44.13. Alımı yapılacak malzemelerde kırık, çatlak, ezik, paslanama ve boya hatası bulunmayacaktır.</w:t>
      </w:r>
    </w:p>
    <w:p w:rsidR="00A73997" w:rsidRDefault="00A7399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bookmarkEnd w:id="0"/>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C0F" w:rsidRDefault="009A5C0F" w:rsidP="00D67065">
      <w:r>
        <w:separator/>
      </w:r>
    </w:p>
  </w:endnote>
  <w:endnote w:type="continuationSeparator" w:id="0">
    <w:p w:rsidR="009A5C0F" w:rsidRDefault="009A5C0F"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9A5C0F" w:rsidRDefault="009A5C0F">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BD5EE1">
          <w:rPr>
            <w:rFonts w:ascii="Arial" w:hAnsi="Arial" w:cs="Arial"/>
            <w:b w:val="0"/>
            <w:noProof/>
            <w:sz w:val="22"/>
          </w:rPr>
          <w:t>32</w:t>
        </w:r>
        <w:r w:rsidRPr="00D67065">
          <w:rPr>
            <w:rFonts w:ascii="Arial" w:hAnsi="Arial" w:cs="Arial"/>
            <w:b w:val="0"/>
            <w:sz w:val="22"/>
          </w:rPr>
          <w:fldChar w:fldCharType="end"/>
        </w:r>
      </w:p>
    </w:sdtContent>
  </w:sdt>
  <w:p w:rsidR="009A5C0F" w:rsidRDefault="009A5C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C0F" w:rsidRDefault="009A5C0F" w:rsidP="00D67065">
      <w:r>
        <w:separator/>
      </w:r>
    </w:p>
  </w:footnote>
  <w:footnote w:type="continuationSeparator" w:id="0">
    <w:p w:rsidR="009A5C0F" w:rsidRDefault="009A5C0F"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0F" w:rsidRPr="00761554" w:rsidRDefault="009A5C0F"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11E70"/>
    <w:rsid w:val="000365EB"/>
    <w:rsid w:val="00041300"/>
    <w:rsid w:val="00074EF7"/>
    <w:rsid w:val="00087DD6"/>
    <w:rsid w:val="000F15E9"/>
    <w:rsid w:val="000F4CA2"/>
    <w:rsid w:val="00103C12"/>
    <w:rsid w:val="001129EB"/>
    <w:rsid w:val="001156FD"/>
    <w:rsid w:val="00157F58"/>
    <w:rsid w:val="00187C50"/>
    <w:rsid w:val="00215A73"/>
    <w:rsid w:val="00260510"/>
    <w:rsid w:val="00275BB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41D72"/>
    <w:rsid w:val="00494E06"/>
    <w:rsid w:val="004A78C5"/>
    <w:rsid w:val="004B54AB"/>
    <w:rsid w:val="004F3349"/>
    <w:rsid w:val="004F676E"/>
    <w:rsid w:val="00510FE7"/>
    <w:rsid w:val="00527BE6"/>
    <w:rsid w:val="00530089"/>
    <w:rsid w:val="005528A7"/>
    <w:rsid w:val="00554410"/>
    <w:rsid w:val="00556D9D"/>
    <w:rsid w:val="005727D2"/>
    <w:rsid w:val="00580F8D"/>
    <w:rsid w:val="00584026"/>
    <w:rsid w:val="00590EE3"/>
    <w:rsid w:val="005C1E21"/>
    <w:rsid w:val="00605DFF"/>
    <w:rsid w:val="00607020"/>
    <w:rsid w:val="00615C40"/>
    <w:rsid w:val="00625A89"/>
    <w:rsid w:val="00636717"/>
    <w:rsid w:val="00643EE8"/>
    <w:rsid w:val="0064640A"/>
    <w:rsid w:val="00653AA8"/>
    <w:rsid w:val="0065590B"/>
    <w:rsid w:val="00657F4A"/>
    <w:rsid w:val="00667EAC"/>
    <w:rsid w:val="006854BB"/>
    <w:rsid w:val="006A7DF8"/>
    <w:rsid w:val="006E23C6"/>
    <w:rsid w:val="00700507"/>
    <w:rsid w:val="00713145"/>
    <w:rsid w:val="00720B52"/>
    <w:rsid w:val="00724C93"/>
    <w:rsid w:val="00761554"/>
    <w:rsid w:val="0078577C"/>
    <w:rsid w:val="00790F09"/>
    <w:rsid w:val="00793637"/>
    <w:rsid w:val="007A4FB9"/>
    <w:rsid w:val="007C7652"/>
    <w:rsid w:val="007E73AA"/>
    <w:rsid w:val="007F36B5"/>
    <w:rsid w:val="008222BF"/>
    <w:rsid w:val="008271F5"/>
    <w:rsid w:val="00832C76"/>
    <w:rsid w:val="00851A15"/>
    <w:rsid w:val="008628E3"/>
    <w:rsid w:val="008725C7"/>
    <w:rsid w:val="00887D51"/>
    <w:rsid w:val="008B6F07"/>
    <w:rsid w:val="008B7DCF"/>
    <w:rsid w:val="008C55F8"/>
    <w:rsid w:val="008E0763"/>
    <w:rsid w:val="008E48D5"/>
    <w:rsid w:val="00904A3C"/>
    <w:rsid w:val="00910A06"/>
    <w:rsid w:val="00911033"/>
    <w:rsid w:val="009158CD"/>
    <w:rsid w:val="00926342"/>
    <w:rsid w:val="0099194C"/>
    <w:rsid w:val="00993124"/>
    <w:rsid w:val="00994864"/>
    <w:rsid w:val="009A5C0F"/>
    <w:rsid w:val="009C2470"/>
    <w:rsid w:val="009F20F3"/>
    <w:rsid w:val="00A2576E"/>
    <w:rsid w:val="00A279D5"/>
    <w:rsid w:val="00A27EEA"/>
    <w:rsid w:val="00A36C84"/>
    <w:rsid w:val="00A46057"/>
    <w:rsid w:val="00A73997"/>
    <w:rsid w:val="00A813B5"/>
    <w:rsid w:val="00A83962"/>
    <w:rsid w:val="00A83A5B"/>
    <w:rsid w:val="00AC4ADC"/>
    <w:rsid w:val="00AD3764"/>
    <w:rsid w:val="00AF2EFC"/>
    <w:rsid w:val="00B01077"/>
    <w:rsid w:val="00B16E7C"/>
    <w:rsid w:val="00B2442F"/>
    <w:rsid w:val="00B74845"/>
    <w:rsid w:val="00B977F2"/>
    <w:rsid w:val="00BA377D"/>
    <w:rsid w:val="00BA5EA7"/>
    <w:rsid w:val="00BA5F7E"/>
    <w:rsid w:val="00BB2483"/>
    <w:rsid w:val="00BC2331"/>
    <w:rsid w:val="00BD5EE1"/>
    <w:rsid w:val="00BF7364"/>
    <w:rsid w:val="00C143F6"/>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58C9"/>
    <w:rsid w:val="00DF71BF"/>
    <w:rsid w:val="00E3048C"/>
    <w:rsid w:val="00E348B5"/>
    <w:rsid w:val="00E82DA4"/>
    <w:rsid w:val="00E94104"/>
    <w:rsid w:val="00EA1361"/>
    <w:rsid w:val="00EB6763"/>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0A88"/>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32552137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23115-43A8-4127-AEF4-060FC714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32</Pages>
  <Words>15164</Words>
  <Characters>86441</Characters>
  <Application>Microsoft Office Word</Application>
  <DocSecurity>0</DocSecurity>
  <Lines>720</Lines>
  <Paragraphs>202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(GİHSSVL.ME.)(KKK)(E)</cp:lastModifiedBy>
  <cp:revision>117</cp:revision>
  <cp:lastPrinted>2022-03-21T11:18:00Z</cp:lastPrinted>
  <dcterms:created xsi:type="dcterms:W3CDTF">2018-03-10T17:53:00Z</dcterms:created>
  <dcterms:modified xsi:type="dcterms:W3CDTF">2022-03-21T11:18:00Z</dcterms:modified>
</cp:coreProperties>
</file>