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9336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933618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3A070E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631D9E" w:rsidP="005D018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 KALEM GIDA MADDESİ ( SİRKE VE YENİLEBİLİR NİŞASTA) ALIMI</w:t>
            </w:r>
            <w:r w:rsidR="006425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31D9E"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631D9E">
              <w:rPr>
                <w:rFonts w:ascii="Times New Roman" w:eastAsia="Times New Roman" w:hAnsi="Times New Roman" w:cs="Times New Roman"/>
                <w:i/>
                <w:lang w:eastAsia="tr-TR"/>
              </w:rPr>
              <w:t>altmış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</w:t>
            </w:r>
            <w:proofErr w:type="gramStart"/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="00631D9E">
              <w:rPr>
                <w:rFonts w:ascii="Times New Roman" w:eastAsia="Times New Roman" w:hAnsi="Times New Roman" w:cs="Times New Roman"/>
                <w:lang w:eastAsia="tr-TR"/>
              </w:rPr>
              <w:t xml:space="preserve">ni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proofErr w:type="gramEnd"/>
            <w:r w:rsidR="00631D9E">
              <w:rPr>
                <w:rFonts w:ascii="Times New Roman" w:eastAsia="Times New Roman" w:hAnsi="Times New Roman" w:cs="Times New Roman"/>
                <w:lang w:eastAsia="tr-TR"/>
              </w:rPr>
              <w:t xml:space="preserve"> ertesi günden itibaren</w:t>
            </w:r>
            <w:bookmarkStart w:id="2" w:name="_GoBack"/>
            <w:bookmarkEnd w:id="2"/>
            <w:r w:rsidR="00F824C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31D9E" w:rsidRPr="00631D9E">
              <w:rPr>
                <w:rFonts w:ascii="Times New Roman" w:eastAsia="Times New Roman" w:hAnsi="Times New Roman" w:cs="Times New Roman"/>
                <w:b/>
                <w:lang w:eastAsia="tr-TR"/>
              </w:rPr>
              <w:t>15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proofErr w:type="spellStart"/>
            <w:r w:rsidR="00631D9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onbeş</w:t>
            </w:r>
            <w:proofErr w:type="spellEnd"/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12672D" w:rsidRDefault="0012672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1485"/>
        <w:gridCol w:w="4287"/>
        <w:gridCol w:w="810"/>
        <w:gridCol w:w="887"/>
        <w:gridCol w:w="1233"/>
        <w:gridCol w:w="1205"/>
      </w:tblGrid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4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8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51E59" w:rsidRPr="003362AF" w:rsidTr="00631D9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4287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81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87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631D9E" w:rsidRPr="003362AF" w:rsidTr="00631D9E">
        <w:trPr>
          <w:trHeight w:val="181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31D9E" w:rsidRPr="00631D9E" w:rsidRDefault="00631D9E" w:rsidP="00631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631D9E" w:rsidRPr="00631D9E" w:rsidRDefault="00631D9E" w:rsidP="00631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SİRKE</w:t>
            </w:r>
          </w:p>
        </w:tc>
        <w:tc>
          <w:tcPr>
            <w:tcW w:w="4287" w:type="dxa"/>
            <w:vAlign w:val="center"/>
          </w:tcPr>
          <w:p w:rsidR="00631D9E" w:rsidRPr="00631D9E" w:rsidRDefault="00631D9E" w:rsidP="00631D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1.) SİRKENİN TİPİ, ÜZÜM SİRKESİ OLACAKTIR.</w:t>
            </w:r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2.) KENDİNE HAS TATTA OLACAK, YABANCI TAT İÇERMEYECEKTİR.</w:t>
            </w:r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3.) KENDİNE HAS KOKUDA OLACAK, YABANCI KOKU İÇERMEYECEKTİR.</w:t>
            </w:r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4.) KENDİNE HAS RENKTE OLACAKTIR.</w:t>
            </w:r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5.) KENDİNE HAS GÖRÜNÜŞTE OLACAKTIR.</w:t>
            </w:r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6.) YABANCI MADDE BULUNMAYACAKTIR.</w:t>
            </w:r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7.) MALLAR, 1 (BİR) LİTRELİK PET ŞİŞE BİRİM AMBALAJLARDA OLACAK, BİRİM AMBALAJLAR BUNLARI KORUYACAK PİYASA TEAMÜLÜ NAKLİYE AMBALAJLARINA KONULACAKTIR.</w:t>
            </w:r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8.) ÜRETİM TARİHİ İLE TESLİM TARİHİ ARASINDA EN FAZLA 30 GÜN OLACAKTIR.</w:t>
            </w:r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9.) MALA AİT SON KULLANMA TARİHİNE KADAR GARANTİ TAAHHÜTNAMESİ VERİLECEKTİR.</w:t>
            </w:r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10.) TESLİM TARİHİNDEN İTİBAREN EN AZ 18 AY MİADI OLACAKTIR.</w:t>
            </w:r>
          </w:p>
        </w:tc>
        <w:tc>
          <w:tcPr>
            <w:tcW w:w="810" w:type="dxa"/>
            <w:vAlign w:val="center"/>
          </w:tcPr>
          <w:p w:rsidR="00631D9E" w:rsidRPr="00631D9E" w:rsidRDefault="00631D9E" w:rsidP="00631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1.000</w:t>
            </w:r>
          </w:p>
        </w:tc>
        <w:tc>
          <w:tcPr>
            <w:tcW w:w="887" w:type="dxa"/>
            <w:vAlign w:val="center"/>
          </w:tcPr>
          <w:p w:rsidR="00631D9E" w:rsidRPr="00631D9E" w:rsidRDefault="00631D9E" w:rsidP="00631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631D9E" w:rsidRPr="00631D9E" w:rsidRDefault="00631D9E" w:rsidP="00631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631D9E" w:rsidRPr="00631D9E" w:rsidRDefault="00631D9E" w:rsidP="00631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D9E" w:rsidRPr="003362AF" w:rsidTr="00631D9E">
        <w:trPr>
          <w:trHeight w:val="181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31D9E" w:rsidRPr="00631D9E" w:rsidRDefault="00631D9E" w:rsidP="00631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631D9E" w:rsidRPr="00631D9E" w:rsidRDefault="00631D9E" w:rsidP="00631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YENİLEBİLİR NİŞASTA</w:t>
            </w:r>
          </w:p>
        </w:tc>
        <w:tc>
          <w:tcPr>
            <w:tcW w:w="4287" w:type="dxa"/>
            <w:vAlign w:val="center"/>
          </w:tcPr>
          <w:p w:rsidR="00631D9E" w:rsidRPr="00631D9E" w:rsidRDefault="00631D9E" w:rsidP="00631D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1.) YENİLEBİLİR NİŞASTA OLACAKTIR.</w:t>
            </w:r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2.) ÇEŞİTLERDEN MISIR VEYA BUĞDAY NİŞASTASI OLACAKTIR.</w:t>
            </w:r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3.) KENDİNE HAS TATTA OLACAK, YABANCI TAT İÇERMEYECEKTİR.</w:t>
            </w:r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4.) KENDİNE HAS KOKUDA OLACAK, YABANCI KOKU İÇERMEYECEKTİR.</w:t>
            </w:r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5.) TOZ HALDE OLACAKTIR.</w:t>
            </w:r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6.) YABANCI MADDE OLMAYACAKTIR.</w:t>
            </w:r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7.) BEYAZ RENKTE OLACAKTIR.</w:t>
            </w:r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8.) TESLİM TARİHİNDEN İTİBAREN EN AZ 18 AY MİADI OLACAKTIR.</w:t>
            </w:r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9.) PİYASA TEAMÜLÜ 1-10 KG.ARASINDA BİRİM AMBALAJLARDA </w:t>
            </w:r>
            <w:proofErr w:type="gramStart"/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OLACAKTIR.NAKLİYE</w:t>
            </w:r>
            <w:proofErr w:type="gramEnd"/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AMBALAJI PİYASA TEAMÜLÜ KARTON VEYA MUKAVVA AMBALAJ OLACAKTIR</w:t>
            </w:r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10.) ÜRETİM TARİHİ İLE TESLİM TARİHİ ARASINDA EN FAZLA 30 GÜN OLACAKTIR.</w:t>
            </w:r>
            <w:r w:rsidRPr="00631D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11.) MALA AİT SON KULLANMA TARİHİNE KADAR GARANTİ TAAHHÜTNAMESİ VERİLECEKTİR</w:t>
            </w:r>
          </w:p>
        </w:tc>
        <w:tc>
          <w:tcPr>
            <w:tcW w:w="810" w:type="dxa"/>
            <w:vAlign w:val="center"/>
          </w:tcPr>
          <w:p w:rsidR="00631D9E" w:rsidRPr="00631D9E" w:rsidRDefault="00631D9E" w:rsidP="00631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7" w:type="dxa"/>
            <w:vAlign w:val="center"/>
          </w:tcPr>
          <w:p w:rsidR="00631D9E" w:rsidRPr="00631D9E" w:rsidRDefault="00631D9E" w:rsidP="00631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631D9E" w:rsidRPr="00631D9E" w:rsidRDefault="00631D9E" w:rsidP="00631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631D9E" w:rsidRPr="00631D9E" w:rsidRDefault="00631D9E" w:rsidP="00631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4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38" w:type="dxa"/>
            <w:gridSpan w:val="2"/>
            <w:vAlign w:val="center"/>
          </w:tcPr>
          <w:p w:rsidR="00351E59" w:rsidRPr="00631D9E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AE1194">
        <w:trPr>
          <w:trHeight w:val="545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2672D"/>
    <w:rsid w:val="00144CF2"/>
    <w:rsid w:val="00146336"/>
    <w:rsid w:val="001D6F60"/>
    <w:rsid w:val="001E6EA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A070E"/>
    <w:rsid w:val="003B7A51"/>
    <w:rsid w:val="003D0676"/>
    <w:rsid w:val="0044564F"/>
    <w:rsid w:val="004775EB"/>
    <w:rsid w:val="004C3279"/>
    <w:rsid w:val="004F76C4"/>
    <w:rsid w:val="00523B63"/>
    <w:rsid w:val="005A7DB1"/>
    <w:rsid w:val="005D0181"/>
    <w:rsid w:val="005D62C5"/>
    <w:rsid w:val="00620C9F"/>
    <w:rsid w:val="00625181"/>
    <w:rsid w:val="00631D9E"/>
    <w:rsid w:val="00642592"/>
    <w:rsid w:val="00683D14"/>
    <w:rsid w:val="00685AF7"/>
    <w:rsid w:val="006B766B"/>
    <w:rsid w:val="00724C54"/>
    <w:rsid w:val="00786B59"/>
    <w:rsid w:val="007A2C19"/>
    <w:rsid w:val="007E1C76"/>
    <w:rsid w:val="007E3BA1"/>
    <w:rsid w:val="007E3EC2"/>
    <w:rsid w:val="0080583E"/>
    <w:rsid w:val="008401B8"/>
    <w:rsid w:val="00856FB8"/>
    <w:rsid w:val="008D3CED"/>
    <w:rsid w:val="008E134E"/>
    <w:rsid w:val="00933618"/>
    <w:rsid w:val="00952285"/>
    <w:rsid w:val="009B1509"/>
    <w:rsid w:val="00A30F80"/>
    <w:rsid w:val="00A34192"/>
    <w:rsid w:val="00AC3F19"/>
    <w:rsid w:val="00AE1194"/>
    <w:rsid w:val="00B226A8"/>
    <w:rsid w:val="00BB7984"/>
    <w:rsid w:val="00C142BD"/>
    <w:rsid w:val="00C16167"/>
    <w:rsid w:val="00C45D33"/>
    <w:rsid w:val="00CA1462"/>
    <w:rsid w:val="00CC05DF"/>
    <w:rsid w:val="00CC6098"/>
    <w:rsid w:val="00CE02BE"/>
    <w:rsid w:val="00D60A8C"/>
    <w:rsid w:val="00D834D3"/>
    <w:rsid w:val="00DC1B6E"/>
    <w:rsid w:val="00E56185"/>
    <w:rsid w:val="00EE32C6"/>
    <w:rsid w:val="00F824C5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9</cp:revision>
  <dcterms:created xsi:type="dcterms:W3CDTF">2023-01-24T07:47:00Z</dcterms:created>
  <dcterms:modified xsi:type="dcterms:W3CDTF">2023-06-20T13:08:00Z</dcterms:modified>
</cp:coreProperties>
</file>