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D776FC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D776FC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D776FC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D776FC" w:rsidRDefault="005A7DB1" w:rsidP="00C70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D776FC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261836" w:rsidRPr="00D776F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B71B3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 w:rsidRPr="00D776FC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70EC5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bookmarkStart w:id="2" w:name="_GoBack"/>
            <w:bookmarkEnd w:id="2"/>
          </w:p>
        </w:tc>
      </w:tr>
      <w:tr w:rsidR="007E3EC2" w:rsidRPr="00D776FC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D776FC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776FC" w:rsidRDefault="004316B4" w:rsidP="002E770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316B4">
              <w:rPr>
                <w:rFonts w:ascii="Times New Roman" w:eastAsia="Times New Roman" w:hAnsi="Times New Roman" w:cs="Times New Roman"/>
                <w:lang w:eastAsia="tr-TR"/>
              </w:rPr>
              <w:t>172082 PLAKALI İDARİ HİZMET ARACININ BAKIM VE ONARIMININ YAPILMASI</w:t>
            </w:r>
            <w:r w:rsidR="00C70EC5">
              <w:rPr>
                <w:rFonts w:ascii="Times New Roman" w:eastAsia="Times New Roman" w:hAnsi="Times New Roman" w:cs="Times New Roman"/>
                <w:lang w:eastAsia="tr-TR"/>
              </w:rPr>
              <w:t xml:space="preserve"> İÇİN HİZMET ALIMI</w:t>
            </w:r>
          </w:p>
        </w:tc>
      </w:tr>
      <w:tr w:rsidR="007E3EC2" w:rsidRPr="00D776FC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D776FC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D776FC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D776FC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D776FC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D776FC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D776FC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D776FC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D776FC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D776FC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776FC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776FC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D776FC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D776FC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14767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D776FC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teklifimize dahildir. </w:t>
            </w:r>
            <w:r w:rsidR="008401B8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14767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E7B05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E7B05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14767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14767E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14767E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14767E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14767E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14767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14767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14767E">
              <w:rPr>
                <w:rFonts w:ascii="Times New Roman" w:hAnsi="Times New Roman" w:cs="Times New Roman"/>
              </w:rPr>
              <w:t xml:space="preserve">; </w:t>
            </w:r>
            <w:r w:rsidR="00625181" w:rsidRPr="0014767E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14767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14767E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14767E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14767E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771EE8" w:rsidRPr="0014767E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="00BB7984" w:rsidRPr="0014767E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D52CF6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Aracın bakım onarımında </w:t>
            </w:r>
            <w:r w:rsidR="00144CF2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52CF6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kullanılacağını farklı malzeme montajının </w:t>
            </w:r>
            <w:r w:rsidR="00685AF7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kabul edilmeyeceğini, firmamız yetkilisi tarafından </w:t>
            </w:r>
            <w:r w:rsidR="00D52CF6" w:rsidRPr="0014767E">
              <w:rPr>
                <w:rFonts w:ascii="Times New Roman" w:eastAsia="Times New Roman" w:hAnsi="Times New Roman" w:cs="Times New Roman"/>
                <w:lang w:eastAsia="tr-TR"/>
              </w:rPr>
              <w:t>gerekli işlemlerin yapılacağını</w:t>
            </w:r>
            <w:r w:rsidR="00685AF7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="00C45D33" w:rsidRPr="0014767E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14767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2C45DA" w:rsidRPr="0014767E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6E7B05">
              <w:rPr>
                <w:rFonts w:ascii="Times New Roman" w:eastAsia="Times New Roman" w:hAnsi="Times New Roman" w:cs="Times New Roman"/>
                <w:i/>
                <w:lang w:eastAsia="tr-TR"/>
              </w:rPr>
              <w:t>10</w:t>
            </w:r>
            <w:r w:rsidR="00885D5E"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E7B05">
              <w:rPr>
                <w:rFonts w:ascii="Times New Roman" w:eastAsia="Times New Roman" w:hAnsi="Times New Roman" w:cs="Times New Roman"/>
                <w:i/>
                <w:lang w:eastAsia="tr-TR"/>
              </w:rPr>
              <w:t>On</w:t>
            </w:r>
            <w:r w:rsidRPr="0014767E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D52CF6" w:rsidRPr="0014767E">
              <w:rPr>
                <w:rFonts w:ascii="Times New Roman" w:eastAsia="Times New Roman" w:hAnsi="Times New Roman" w:cs="Times New Roman"/>
                <w:lang w:eastAsia="tr-TR"/>
              </w:rPr>
              <w:t xml:space="preserve">onarımı gerçekleştirerek </w:t>
            </w:r>
            <w:r w:rsidR="00B50A55" w:rsidRPr="0014767E">
              <w:rPr>
                <w:rFonts w:ascii="Times New Roman" w:eastAsia="Times New Roman" w:hAnsi="Times New Roman" w:cs="Times New Roman"/>
                <w:lang w:eastAsia="tr-TR"/>
              </w:rPr>
              <w:t>belgelerini düzenleyerek teslim edeceğimizi taahhüt ederiz.</w:t>
            </w:r>
          </w:p>
          <w:p w:rsidR="00351E59" w:rsidRPr="00D776FC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r w:rsidR="00B50A55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kalemlerini eksiksiz teslim etmeyi</w:t>
            </w:r>
            <w:r w:rsidR="00B226A8" w:rsidRPr="00D776FC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6A7EFF" w:rsidRPr="00D776FC" w:rsidRDefault="006A7EFF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Bakım onarım işini firmamızın servisinde veya mobil bakım onarım şeklinde teklifi isteyen 1 Zırhlı Tugay Komutanlığı yerleşkesinde yapmayı taahhüt ederiz.(Uygun olmayan kısım çizilecektir.)</w:t>
            </w:r>
          </w:p>
          <w:p w:rsidR="00856FB8" w:rsidRPr="00D776FC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Hizmetin yapılması </w:t>
            </w:r>
            <w:r w:rsidR="00363637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esnasında </w:t>
            </w:r>
            <w:r w:rsidR="00685AF7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776FC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776FC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D776F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Pr="00D776FC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D776FC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D776FC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D776FC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D776FC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D776FC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D776FC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D776FC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D776FC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D776FC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D776FC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D776FC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Pr="00D776FC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D776FC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776FC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109"/>
        <w:gridCol w:w="1921"/>
        <w:gridCol w:w="2883"/>
        <w:gridCol w:w="800"/>
        <w:gridCol w:w="987"/>
        <w:gridCol w:w="1276"/>
        <w:gridCol w:w="1105"/>
      </w:tblGrid>
      <w:tr w:rsidR="00D776FC" w:rsidRPr="00D776FC" w:rsidTr="00B761F1">
        <w:trPr>
          <w:jc w:val="center"/>
        </w:trPr>
        <w:tc>
          <w:tcPr>
            <w:tcW w:w="7349" w:type="dxa"/>
            <w:gridSpan w:val="5"/>
          </w:tcPr>
          <w:p w:rsidR="00D776FC" w:rsidRPr="00D776FC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6FC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987" w:type="dxa"/>
          </w:tcPr>
          <w:p w:rsidR="00D776FC" w:rsidRPr="00D776FC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  <w:gridSpan w:val="2"/>
          </w:tcPr>
          <w:p w:rsidR="00D776FC" w:rsidRPr="00D776FC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776FC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BB3B28" w:rsidRPr="00BB3B28" w:rsidTr="00B761F1">
        <w:trPr>
          <w:trHeight w:val="853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PLAKA</w:t>
            </w:r>
          </w:p>
        </w:tc>
        <w:tc>
          <w:tcPr>
            <w:tcW w:w="1921" w:type="dxa"/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İŞ KALEMİNİN ADI VE KISA AÇIKLAMASI</w:t>
            </w:r>
          </w:p>
        </w:tc>
        <w:tc>
          <w:tcPr>
            <w:tcW w:w="2883" w:type="dxa"/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MARKA / MODEL / ÖZELLİKLERİ</w:t>
            </w:r>
          </w:p>
        </w:tc>
        <w:tc>
          <w:tcPr>
            <w:tcW w:w="800" w:type="dxa"/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A15416" w:rsidRPr="00BB3B28" w:rsidRDefault="00A15416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5416" w:rsidRPr="00BB3B28" w:rsidRDefault="00A15416" w:rsidP="00093D56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A15416" w:rsidRPr="00BB3B28" w:rsidRDefault="00A15416" w:rsidP="005A5E95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Tutarı</w:t>
            </w: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BB3B28"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DENGE ÇUBUĞU</w:t>
            </w:r>
          </w:p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(Z ROT)</w:t>
            </w:r>
          </w:p>
        </w:tc>
        <w:tc>
          <w:tcPr>
            <w:tcW w:w="2883" w:type="dxa"/>
            <w:vMerge w:val="restart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Ulş.Oto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Tk.K.lığı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envanterinde bulunan 172082 Plakalı 2320KK0477862 Stok Numaralı ve NMOMXXTACMKM87182 Şasi Numaralı Ford </w:t>
            </w:r>
            <w:proofErr w:type="spellStart"/>
            <w:r>
              <w:rPr>
                <w:color w:val="000000"/>
                <w:sz w:val="20"/>
                <w:szCs w:val="20"/>
              </w:rPr>
              <w:t>Tourneo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Courier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Kombi 75 PS 1.5 TDCİ Aracına uyumlu </w:t>
            </w:r>
            <w:proofErr w:type="spellStart"/>
            <w:r>
              <w:rPr>
                <w:color w:val="000000"/>
                <w:sz w:val="20"/>
                <w:szCs w:val="20"/>
              </w:rPr>
              <w:t>olacaktır.Kullanılan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parçalar yeni olacaktır. Parçalar en az 1 Yıl Garantili olacaktır.</w:t>
            </w: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C55F3F">
        <w:trPr>
          <w:trHeight w:val="843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BB3B28">
              <w:rPr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KAYIŞ TERTİBATI </w:t>
            </w:r>
          </w:p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(V KAYIŞ)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BB3B28">
              <w:rPr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DEVİRDAİM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TRİGER SETİ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FREN BALATASI </w:t>
            </w:r>
          </w:p>
          <w:p w:rsidR="00C55F3F" w:rsidRDefault="00C55F3F" w:rsidP="00C55F3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(ÖN TAKIM)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DEBRİYAJ MERKEZİ ÜST ANA MERKEZ</w:t>
            </w:r>
          </w:p>
        </w:tc>
        <w:tc>
          <w:tcPr>
            <w:tcW w:w="2883" w:type="dxa"/>
            <w:vMerge w:val="restart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Ulş.Oto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Tk.K.lığı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envanterinde bulunan 172082 Plakalı 2320KK0477862 Stok Numaralı ve NMOMXXTACMKM87182 Şasi Numaralı Ford </w:t>
            </w:r>
            <w:proofErr w:type="spellStart"/>
            <w:r>
              <w:rPr>
                <w:color w:val="000000"/>
                <w:sz w:val="20"/>
                <w:szCs w:val="20"/>
              </w:rPr>
              <w:t>Tourneo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Courier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Kombi 75 PS 1.5 TDCİ Aracına uyumlu </w:t>
            </w:r>
            <w:proofErr w:type="spellStart"/>
            <w:r>
              <w:rPr>
                <w:color w:val="000000"/>
                <w:sz w:val="20"/>
                <w:szCs w:val="20"/>
              </w:rPr>
              <w:t>olacaktır.Kullanılan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parçalar yeni olacaktır. Parçalar en az 1 Yıl Garantili olacaktır.</w:t>
            </w: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851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 SİLGİ FIRÇASI TAKIMI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 w:rsidP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786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 FREN DİSKİ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755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BB3B2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DEBRİYAJ BASKI BALATA TAKIMI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 w:rsidP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4316B4">
        <w:trPr>
          <w:trHeight w:val="1332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 BALANS İŞÇİLİĞİ</w:t>
            </w:r>
          </w:p>
        </w:tc>
        <w:tc>
          <w:tcPr>
            <w:tcW w:w="2883" w:type="dxa"/>
            <w:vMerge w:val="restart"/>
            <w:vAlign w:val="center"/>
          </w:tcPr>
          <w:p w:rsidR="00C55F3F" w:rsidRDefault="00C55F3F" w:rsidP="007970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Yapılacak işçilik,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Ulş.Oto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Tk.K.lığı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envanterinde bulunan 172082 Plakalı 2320KK0477862 Stok Numaralı ve NMOMXXTACMKM87182 Şasi Numaralı Ford </w:t>
            </w:r>
            <w:proofErr w:type="spellStart"/>
            <w:r>
              <w:rPr>
                <w:color w:val="000000"/>
                <w:sz w:val="20"/>
                <w:szCs w:val="20"/>
              </w:rPr>
              <w:t>Tourneo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Courier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Kombi 75 PS 1.5 TDCİ Aracı için </w:t>
            </w:r>
            <w:proofErr w:type="spellStart"/>
            <w:r>
              <w:rPr>
                <w:color w:val="000000"/>
                <w:sz w:val="20"/>
                <w:szCs w:val="20"/>
              </w:rPr>
              <w:t>olacaktır.Kullanılan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parçalar yeni olacaktır. Kullanılan parçaların 1 Yıl Garantisi olacaktır.</w:t>
            </w: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2560B">
        <w:trPr>
          <w:trHeight w:val="1664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İŞCİLİK</w:t>
            </w:r>
          </w:p>
        </w:tc>
        <w:tc>
          <w:tcPr>
            <w:tcW w:w="2883" w:type="dxa"/>
            <w:vMerge/>
            <w:vAlign w:val="center"/>
          </w:tcPr>
          <w:p w:rsidR="00C55F3F" w:rsidRDefault="00C5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55F3F" w:rsidRDefault="00C55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C55F3F" w:rsidRDefault="00C55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55F3F" w:rsidRPr="00BB3B28" w:rsidRDefault="00C55F3F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761F1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gridSpan w:val="3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>Toplam Tutar (K.D.V Hariç)</w:t>
            </w:r>
          </w:p>
        </w:tc>
        <w:tc>
          <w:tcPr>
            <w:tcW w:w="987" w:type="dxa"/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C55F3F" w:rsidRPr="00BB3B28" w:rsidRDefault="00C55F3F" w:rsidP="005A5E95">
            <w:pPr>
              <w:rPr>
                <w:rFonts w:ascii="Times New Roman" w:hAnsi="Times New Roman" w:cs="Times New Roman"/>
              </w:rPr>
            </w:pPr>
          </w:p>
        </w:tc>
      </w:tr>
      <w:tr w:rsidR="00C55F3F" w:rsidRPr="00BB3B28" w:rsidTr="00B761F1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gridSpan w:val="3"/>
            <w:tcBorders>
              <w:right w:val="single" w:sz="4" w:space="0" w:color="auto"/>
            </w:tcBorders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C55F3F" w:rsidRPr="00BB3B28" w:rsidRDefault="00C55F3F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C55F3F" w:rsidRPr="00BB3B28" w:rsidRDefault="00C55F3F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BB3B28" w:rsidRDefault="00351E59" w:rsidP="00351E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BB3B28" w:rsidRPr="00BB3B28" w:rsidTr="005A5E95">
        <w:trPr>
          <w:trHeight w:val="231"/>
          <w:jc w:val="center"/>
        </w:trPr>
        <w:tc>
          <w:tcPr>
            <w:tcW w:w="9896" w:type="dxa"/>
          </w:tcPr>
          <w:p w:rsidR="00351E59" w:rsidRPr="00BB3B28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B3B28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BB3B28" w:rsidTr="005A5E95">
        <w:trPr>
          <w:trHeight w:val="281"/>
          <w:jc w:val="center"/>
        </w:trPr>
        <w:tc>
          <w:tcPr>
            <w:tcW w:w="9896" w:type="dxa"/>
          </w:tcPr>
          <w:p w:rsidR="00351E59" w:rsidRPr="00BB3B28" w:rsidRDefault="00351E59" w:rsidP="005A5E95">
            <w:pPr>
              <w:jc w:val="both"/>
              <w:rPr>
                <w:rFonts w:ascii="Times New Roman" w:hAnsi="Times New Roman" w:cs="Times New Roman"/>
              </w:rPr>
            </w:pPr>
            <w:r w:rsidRPr="00BB3B2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BB3B28">
              <w:rPr>
                <w:rFonts w:ascii="Times New Roman" w:hAnsi="Times New Roman" w:cs="Times New Roman"/>
              </w:rPr>
              <w:t xml:space="preserve">                </w:t>
            </w:r>
            <w:r w:rsidRPr="00BB3B28">
              <w:rPr>
                <w:rFonts w:ascii="Times New Roman" w:hAnsi="Times New Roman" w:cs="Times New Roman"/>
              </w:rPr>
              <w:t xml:space="preserve"> </w:t>
            </w:r>
            <w:r w:rsidR="00B761F1">
              <w:rPr>
                <w:rFonts w:ascii="Times New Roman" w:hAnsi="Times New Roman" w:cs="Times New Roman"/>
              </w:rPr>
              <w:t xml:space="preserve">  </w:t>
            </w:r>
            <w:r w:rsidRPr="00BB3B28">
              <w:rPr>
                <w:rFonts w:ascii="Times New Roman" w:hAnsi="Times New Roman" w:cs="Times New Roman"/>
              </w:rPr>
              <w:t xml:space="preserve">Kaşe ve İmza </w:t>
            </w:r>
          </w:p>
        </w:tc>
      </w:tr>
    </w:tbl>
    <w:p w:rsidR="00351E59" w:rsidRPr="00BB3B28" w:rsidRDefault="00351E59" w:rsidP="00B2560B">
      <w:pPr>
        <w:rPr>
          <w:rFonts w:ascii="Times New Roman" w:hAnsi="Times New Roman" w:cs="Times New Roman"/>
        </w:rPr>
      </w:pPr>
    </w:p>
    <w:sectPr w:rsidR="00351E59" w:rsidRPr="00BB3B28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13670"/>
    <w:rsid w:val="00143E95"/>
    <w:rsid w:val="00144CF2"/>
    <w:rsid w:val="00146336"/>
    <w:rsid w:val="0014767E"/>
    <w:rsid w:val="001C3AEA"/>
    <w:rsid w:val="001E6EA0"/>
    <w:rsid w:val="0020608C"/>
    <w:rsid w:val="00206484"/>
    <w:rsid w:val="00221712"/>
    <w:rsid w:val="00261836"/>
    <w:rsid w:val="002C45DA"/>
    <w:rsid w:val="002D5793"/>
    <w:rsid w:val="002E7052"/>
    <w:rsid w:val="002E7709"/>
    <w:rsid w:val="003352C8"/>
    <w:rsid w:val="00351E59"/>
    <w:rsid w:val="00361AAD"/>
    <w:rsid w:val="00363637"/>
    <w:rsid w:val="00373F89"/>
    <w:rsid w:val="00376BA2"/>
    <w:rsid w:val="00391705"/>
    <w:rsid w:val="00394A28"/>
    <w:rsid w:val="003B12E1"/>
    <w:rsid w:val="003B71B3"/>
    <w:rsid w:val="003E0DE7"/>
    <w:rsid w:val="00420C74"/>
    <w:rsid w:val="004316B4"/>
    <w:rsid w:val="0044564F"/>
    <w:rsid w:val="004C3279"/>
    <w:rsid w:val="004E4EBE"/>
    <w:rsid w:val="004F76C4"/>
    <w:rsid w:val="00523B63"/>
    <w:rsid w:val="005360A2"/>
    <w:rsid w:val="00581F5F"/>
    <w:rsid w:val="00593C42"/>
    <w:rsid w:val="005A4243"/>
    <w:rsid w:val="005A7DB1"/>
    <w:rsid w:val="005C431A"/>
    <w:rsid w:val="005F4F95"/>
    <w:rsid w:val="00620C9F"/>
    <w:rsid w:val="00625181"/>
    <w:rsid w:val="00683D14"/>
    <w:rsid w:val="00685AF7"/>
    <w:rsid w:val="006A7EFF"/>
    <w:rsid w:val="006B766B"/>
    <w:rsid w:val="006E7B05"/>
    <w:rsid w:val="00707850"/>
    <w:rsid w:val="00757AD1"/>
    <w:rsid w:val="00771EE8"/>
    <w:rsid w:val="00786B59"/>
    <w:rsid w:val="007A2C19"/>
    <w:rsid w:val="007E1C76"/>
    <w:rsid w:val="007E3EC2"/>
    <w:rsid w:val="0080583E"/>
    <w:rsid w:val="008401B8"/>
    <w:rsid w:val="00856FB8"/>
    <w:rsid w:val="00871527"/>
    <w:rsid w:val="00885D5E"/>
    <w:rsid w:val="008E134E"/>
    <w:rsid w:val="00907FFE"/>
    <w:rsid w:val="00952285"/>
    <w:rsid w:val="009B1509"/>
    <w:rsid w:val="009F25F2"/>
    <w:rsid w:val="009F63C5"/>
    <w:rsid w:val="00A15416"/>
    <w:rsid w:val="00A30F80"/>
    <w:rsid w:val="00A34192"/>
    <w:rsid w:val="00A71915"/>
    <w:rsid w:val="00A75D23"/>
    <w:rsid w:val="00AC3F19"/>
    <w:rsid w:val="00B226A8"/>
    <w:rsid w:val="00B23B81"/>
    <w:rsid w:val="00B2560B"/>
    <w:rsid w:val="00B50A55"/>
    <w:rsid w:val="00B75047"/>
    <w:rsid w:val="00B761F1"/>
    <w:rsid w:val="00BB3B28"/>
    <w:rsid w:val="00BB7984"/>
    <w:rsid w:val="00C1384A"/>
    <w:rsid w:val="00C142BD"/>
    <w:rsid w:val="00C16167"/>
    <w:rsid w:val="00C45D33"/>
    <w:rsid w:val="00C55F3F"/>
    <w:rsid w:val="00C70EC5"/>
    <w:rsid w:val="00C721CD"/>
    <w:rsid w:val="00C80704"/>
    <w:rsid w:val="00C810D9"/>
    <w:rsid w:val="00CC5871"/>
    <w:rsid w:val="00CC6098"/>
    <w:rsid w:val="00CE6978"/>
    <w:rsid w:val="00D52CF6"/>
    <w:rsid w:val="00D57EA5"/>
    <w:rsid w:val="00D60A8C"/>
    <w:rsid w:val="00D776FC"/>
    <w:rsid w:val="00D834D3"/>
    <w:rsid w:val="00DC1B6E"/>
    <w:rsid w:val="00DF0119"/>
    <w:rsid w:val="00EE12D2"/>
    <w:rsid w:val="00FA3497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19</cp:revision>
  <cp:lastPrinted>2023-04-04T10:31:00Z</cp:lastPrinted>
  <dcterms:created xsi:type="dcterms:W3CDTF">2023-04-04T08:42:00Z</dcterms:created>
  <dcterms:modified xsi:type="dcterms:W3CDTF">2023-06-15T09:22:00Z</dcterms:modified>
</cp:coreProperties>
</file>