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7941D0">
        <w:rPr>
          <w:rFonts w:ascii="Times New Roman" w:hAnsi="Times New Roman" w:cs="Times New Roman"/>
          <w:color w:val="auto"/>
          <w:sz w:val="24"/>
          <w:szCs w:val="24"/>
        </w:rPr>
        <w:t>2</w:t>
      </w:r>
      <w:r w:rsidR="00145438" w:rsidRPr="00646949">
        <w:rPr>
          <w:rFonts w:ascii="Times New Roman" w:hAnsi="Times New Roman" w:cs="Times New Roman"/>
          <w:color w:val="auto"/>
          <w:sz w:val="24"/>
          <w:szCs w:val="24"/>
        </w:rPr>
        <w:t xml:space="preserve"> (</w:t>
      </w:r>
      <w:r w:rsidR="007941D0">
        <w:rPr>
          <w:rFonts w:ascii="Times New Roman" w:hAnsi="Times New Roman" w:cs="Times New Roman"/>
          <w:color w:val="auto"/>
          <w:sz w:val="24"/>
          <w:szCs w:val="24"/>
        </w:rPr>
        <w:t>İKİ</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0023F1">
        <w:rPr>
          <w:rFonts w:ascii="Times New Roman" w:hAnsi="Times New Roman" w:cs="Times New Roman"/>
          <w:color w:val="auto"/>
          <w:sz w:val="24"/>
          <w:szCs w:val="24"/>
        </w:rPr>
        <w:t>GAZ VE TÜP ALIMI</w:t>
      </w:r>
      <w:r w:rsidR="00EB161B" w:rsidRPr="00646949">
        <w:rPr>
          <w:rFonts w:ascii="Times New Roman" w:hAnsi="Times New Roman" w:cs="Times New Roman"/>
          <w:color w:val="auto"/>
          <w:sz w:val="24"/>
          <w:szCs w:val="24"/>
        </w:rPr>
        <w:t xml:space="preserve">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7941D0">
        <w:rPr>
          <w:b/>
          <w:color w:val="FF0000"/>
        </w:rPr>
        <w:t>2</w:t>
      </w:r>
      <w:r w:rsidR="00145438" w:rsidRPr="00D072D1">
        <w:rPr>
          <w:b/>
          <w:color w:val="FF0000"/>
        </w:rPr>
        <w:t xml:space="preserve"> </w:t>
      </w:r>
      <w:r w:rsidR="004F5854" w:rsidRPr="00D072D1">
        <w:rPr>
          <w:b/>
          <w:color w:val="FF0000"/>
        </w:rPr>
        <w:t>(</w:t>
      </w:r>
      <w:r w:rsidR="007941D0">
        <w:rPr>
          <w:b/>
          <w:color w:val="FF0000"/>
        </w:rPr>
        <w:t>İki</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0023F1">
        <w:rPr>
          <w:b/>
          <w:color w:val="FF0000"/>
        </w:rPr>
        <w:t>Gaz ve Tüp</w:t>
      </w:r>
      <w:r w:rsidR="00804E4E" w:rsidRPr="00D072D1">
        <w:rPr>
          <w:b/>
          <w:color w:val="FF0000"/>
        </w:rPr>
        <w:t xml:space="preserv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E21994" w:rsidRDefault="00486F6C" w:rsidP="00D072D1">
      <w:pPr>
        <w:jc w:val="both"/>
        <w:divId w:val="135076975"/>
        <w:rPr>
          <w:b/>
          <w:bCs/>
        </w:rPr>
      </w:pPr>
      <w:r w:rsidRPr="00D56354">
        <w:rPr>
          <w:b/>
          <w:bCs/>
        </w:rPr>
        <w:lastRenderedPageBreak/>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ook w:val="04A0" w:firstRow="1" w:lastRow="0" w:firstColumn="1" w:lastColumn="0" w:noHBand="0" w:noVBand="1"/>
      </w:tblPr>
      <w:tblGrid>
        <w:gridCol w:w="546"/>
        <w:gridCol w:w="1744"/>
        <w:gridCol w:w="2382"/>
        <w:gridCol w:w="2459"/>
        <w:gridCol w:w="1231"/>
        <w:gridCol w:w="987"/>
      </w:tblGrid>
      <w:tr w:rsidR="00C75A00" w:rsidRPr="00C75A00" w:rsidTr="000F6FE4">
        <w:trPr>
          <w:divId w:val="135076975"/>
          <w:trHeight w:val="705"/>
        </w:trPr>
        <w:tc>
          <w:tcPr>
            <w:tcW w:w="546"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744"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382"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459"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231"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9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0023F1" w:rsidRPr="00C75A00" w:rsidTr="000023F1">
        <w:trPr>
          <w:divId w:val="135076975"/>
          <w:trHeight w:val="1282"/>
        </w:trPr>
        <w:tc>
          <w:tcPr>
            <w:tcW w:w="546" w:type="dxa"/>
            <w:vAlign w:val="center"/>
          </w:tcPr>
          <w:p w:rsidR="000023F1" w:rsidRPr="00A36936" w:rsidRDefault="000023F1" w:rsidP="000023F1">
            <w:pPr>
              <w:jc w:val="center"/>
              <w:rPr>
                <w:bCs/>
                <w:sz w:val="22"/>
                <w:szCs w:val="22"/>
              </w:rPr>
            </w:pPr>
            <w:r>
              <w:rPr>
                <w:bCs/>
                <w:sz w:val="22"/>
                <w:szCs w:val="22"/>
              </w:rPr>
              <w:t>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3F1" w:rsidRPr="000023F1" w:rsidRDefault="000023F1" w:rsidP="000023F1">
            <w:pPr>
              <w:overflowPunct/>
              <w:autoSpaceDE/>
              <w:autoSpaceDN/>
              <w:jc w:val="center"/>
              <w:rPr>
                <w:rFonts w:eastAsia="Times New Roman"/>
                <w:color w:val="auto"/>
                <w:sz w:val="22"/>
                <w:szCs w:val="22"/>
              </w:rPr>
            </w:pPr>
            <w:r w:rsidRPr="000023F1">
              <w:rPr>
                <w:sz w:val="22"/>
                <w:szCs w:val="22"/>
              </w:rPr>
              <w:t xml:space="preserve">8120KK0440468 </w:t>
            </w:r>
          </w:p>
        </w:tc>
        <w:tc>
          <w:tcPr>
            <w:tcW w:w="2382" w:type="dxa"/>
            <w:tcBorders>
              <w:top w:val="single" w:sz="4" w:space="0" w:color="auto"/>
              <w:left w:val="nil"/>
              <w:bottom w:val="single" w:sz="4" w:space="0" w:color="auto"/>
              <w:right w:val="single" w:sz="4" w:space="0" w:color="auto"/>
            </w:tcBorders>
            <w:shd w:val="clear" w:color="auto" w:fill="auto"/>
            <w:vAlign w:val="center"/>
          </w:tcPr>
          <w:p w:rsidR="000023F1" w:rsidRPr="000023F1" w:rsidRDefault="000023F1" w:rsidP="000023F1">
            <w:pPr>
              <w:rPr>
                <w:sz w:val="22"/>
                <w:szCs w:val="22"/>
              </w:rPr>
            </w:pPr>
            <w:r w:rsidRPr="000023F1">
              <w:rPr>
                <w:sz w:val="22"/>
                <w:szCs w:val="22"/>
              </w:rPr>
              <w:t>AZOT TÜPÜ, YÜKSEK BASINÇLI 300 PSİ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0023F1" w:rsidRPr="000023F1" w:rsidRDefault="000023F1" w:rsidP="000023F1">
            <w:pPr>
              <w:rPr>
                <w:sz w:val="22"/>
                <w:szCs w:val="22"/>
              </w:rPr>
            </w:pPr>
            <w:r w:rsidRPr="000023F1">
              <w:rPr>
                <w:sz w:val="22"/>
                <w:szCs w:val="22"/>
              </w:rPr>
              <w:t>50 LT 200 BAR DOLU TÜP OLACAKTIR. TÜP İMAL TARİHİ EN AZ 2022 OLACAKTIR.</w:t>
            </w:r>
          </w:p>
        </w:tc>
        <w:tc>
          <w:tcPr>
            <w:tcW w:w="1231" w:type="dxa"/>
            <w:tcBorders>
              <w:top w:val="single" w:sz="4" w:space="0" w:color="auto"/>
              <w:left w:val="nil"/>
              <w:bottom w:val="single" w:sz="4" w:space="0" w:color="auto"/>
              <w:right w:val="single" w:sz="4" w:space="0" w:color="auto"/>
            </w:tcBorders>
            <w:shd w:val="clear" w:color="auto" w:fill="auto"/>
            <w:noWrap/>
            <w:vAlign w:val="center"/>
          </w:tcPr>
          <w:p w:rsidR="000023F1" w:rsidRPr="000023F1" w:rsidRDefault="000023F1" w:rsidP="000023F1">
            <w:pPr>
              <w:jc w:val="center"/>
              <w:rPr>
                <w:color w:val="auto"/>
                <w:sz w:val="22"/>
                <w:szCs w:val="22"/>
              </w:rPr>
            </w:pPr>
            <w:r w:rsidRPr="000023F1">
              <w:rPr>
                <w:sz w:val="22"/>
                <w:szCs w:val="22"/>
              </w:rPr>
              <w:t>50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023F1" w:rsidRPr="000023F1" w:rsidRDefault="000023F1" w:rsidP="000023F1">
            <w:pPr>
              <w:jc w:val="center"/>
              <w:rPr>
                <w:sz w:val="22"/>
                <w:szCs w:val="22"/>
              </w:rPr>
            </w:pPr>
            <w:r w:rsidRPr="000023F1">
              <w:rPr>
                <w:sz w:val="22"/>
                <w:szCs w:val="22"/>
              </w:rPr>
              <w:t>ADET</w:t>
            </w:r>
          </w:p>
        </w:tc>
      </w:tr>
      <w:tr w:rsidR="000023F1" w:rsidRPr="00C75A00" w:rsidTr="00431CCE">
        <w:trPr>
          <w:divId w:val="135076975"/>
          <w:trHeight w:val="705"/>
        </w:trPr>
        <w:tc>
          <w:tcPr>
            <w:tcW w:w="546" w:type="dxa"/>
            <w:vAlign w:val="center"/>
          </w:tcPr>
          <w:p w:rsidR="000023F1" w:rsidRPr="00A36936" w:rsidRDefault="000023F1" w:rsidP="000023F1">
            <w:pPr>
              <w:jc w:val="center"/>
              <w:rPr>
                <w:bCs/>
                <w:sz w:val="22"/>
                <w:szCs w:val="22"/>
              </w:rPr>
            </w:pPr>
            <w:r>
              <w:rPr>
                <w:bCs/>
                <w:sz w:val="22"/>
                <w:szCs w:val="22"/>
              </w:rPr>
              <w:t>2</w:t>
            </w:r>
          </w:p>
        </w:tc>
        <w:tc>
          <w:tcPr>
            <w:tcW w:w="1744" w:type="dxa"/>
            <w:tcBorders>
              <w:top w:val="nil"/>
              <w:left w:val="single" w:sz="4" w:space="0" w:color="auto"/>
              <w:bottom w:val="single" w:sz="4" w:space="0" w:color="auto"/>
              <w:right w:val="single" w:sz="4" w:space="0" w:color="auto"/>
            </w:tcBorders>
            <w:shd w:val="clear" w:color="auto" w:fill="auto"/>
            <w:noWrap/>
            <w:vAlign w:val="center"/>
          </w:tcPr>
          <w:p w:rsidR="000023F1" w:rsidRPr="000023F1" w:rsidRDefault="000023F1" w:rsidP="000023F1">
            <w:pPr>
              <w:jc w:val="center"/>
              <w:rPr>
                <w:sz w:val="22"/>
                <w:szCs w:val="22"/>
              </w:rPr>
            </w:pPr>
            <w:r w:rsidRPr="000023F1">
              <w:rPr>
                <w:sz w:val="22"/>
                <w:szCs w:val="22"/>
              </w:rPr>
              <w:t>6830270001533</w:t>
            </w:r>
          </w:p>
        </w:tc>
        <w:tc>
          <w:tcPr>
            <w:tcW w:w="2382" w:type="dxa"/>
            <w:tcBorders>
              <w:top w:val="nil"/>
              <w:left w:val="nil"/>
              <w:bottom w:val="single" w:sz="4" w:space="0" w:color="auto"/>
              <w:right w:val="single" w:sz="4" w:space="0" w:color="auto"/>
            </w:tcBorders>
            <w:shd w:val="clear" w:color="auto" w:fill="auto"/>
            <w:vAlign w:val="center"/>
          </w:tcPr>
          <w:p w:rsidR="000023F1" w:rsidRPr="000023F1" w:rsidRDefault="000023F1" w:rsidP="000023F1">
            <w:pPr>
              <w:rPr>
                <w:sz w:val="22"/>
                <w:szCs w:val="22"/>
              </w:rPr>
            </w:pPr>
            <w:r w:rsidRPr="000023F1">
              <w:rPr>
                <w:sz w:val="22"/>
                <w:szCs w:val="22"/>
              </w:rPr>
              <w:t>GAZ, ASETILEN</w:t>
            </w:r>
          </w:p>
        </w:tc>
        <w:tc>
          <w:tcPr>
            <w:tcW w:w="2459" w:type="dxa"/>
            <w:tcBorders>
              <w:top w:val="nil"/>
              <w:left w:val="single" w:sz="4" w:space="0" w:color="auto"/>
              <w:bottom w:val="single" w:sz="4" w:space="0" w:color="auto"/>
              <w:right w:val="single" w:sz="4" w:space="0" w:color="auto"/>
            </w:tcBorders>
            <w:shd w:val="clear" w:color="auto" w:fill="auto"/>
            <w:vAlign w:val="center"/>
          </w:tcPr>
          <w:p w:rsidR="000023F1" w:rsidRPr="000023F1" w:rsidRDefault="000023F1" w:rsidP="000023F1">
            <w:pPr>
              <w:rPr>
                <w:sz w:val="22"/>
                <w:szCs w:val="22"/>
              </w:rPr>
            </w:pPr>
            <w:r w:rsidRPr="000023F1">
              <w:rPr>
                <w:sz w:val="22"/>
                <w:szCs w:val="22"/>
              </w:rPr>
              <w:t xml:space="preserve">EN AZ 9 KG ASETİLEN GAZI DOLUMU YAPILACAKTIR </w:t>
            </w:r>
            <w:r w:rsidRPr="000023F1">
              <w:rPr>
                <w:sz w:val="22"/>
                <w:szCs w:val="22"/>
              </w:rPr>
              <w:br/>
              <w:t xml:space="preserve">(50 ADET TÜP) </w:t>
            </w:r>
          </w:p>
        </w:tc>
        <w:tc>
          <w:tcPr>
            <w:tcW w:w="1231" w:type="dxa"/>
            <w:tcBorders>
              <w:top w:val="nil"/>
              <w:left w:val="nil"/>
              <w:bottom w:val="single" w:sz="4" w:space="0" w:color="auto"/>
              <w:right w:val="single" w:sz="4" w:space="0" w:color="auto"/>
            </w:tcBorders>
            <w:shd w:val="clear" w:color="auto" w:fill="auto"/>
            <w:noWrap/>
            <w:vAlign w:val="center"/>
          </w:tcPr>
          <w:p w:rsidR="000023F1" w:rsidRPr="000023F1" w:rsidRDefault="000023F1" w:rsidP="000023F1">
            <w:pPr>
              <w:jc w:val="center"/>
              <w:rPr>
                <w:color w:val="auto"/>
                <w:sz w:val="22"/>
                <w:szCs w:val="22"/>
              </w:rPr>
            </w:pPr>
            <w:r w:rsidRPr="000023F1">
              <w:rPr>
                <w:sz w:val="22"/>
                <w:szCs w:val="22"/>
              </w:rPr>
              <w:t>455</w:t>
            </w:r>
          </w:p>
        </w:tc>
        <w:tc>
          <w:tcPr>
            <w:tcW w:w="987" w:type="dxa"/>
            <w:tcBorders>
              <w:top w:val="nil"/>
              <w:left w:val="single" w:sz="4" w:space="0" w:color="auto"/>
              <w:bottom w:val="single" w:sz="4" w:space="0" w:color="auto"/>
              <w:right w:val="single" w:sz="4" w:space="0" w:color="auto"/>
            </w:tcBorders>
            <w:shd w:val="clear" w:color="auto" w:fill="auto"/>
            <w:vAlign w:val="center"/>
          </w:tcPr>
          <w:p w:rsidR="000023F1" w:rsidRPr="000023F1" w:rsidRDefault="000023F1" w:rsidP="000023F1">
            <w:pPr>
              <w:jc w:val="center"/>
              <w:rPr>
                <w:sz w:val="22"/>
                <w:szCs w:val="22"/>
              </w:rPr>
            </w:pPr>
            <w:r w:rsidRPr="000023F1">
              <w:rPr>
                <w:sz w:val="22"/>
                <w:szCs w:val="22"/>
              </w:rPr>
              <w:t>KG</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lastRenderedPageBreak/>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w:t>
      </w:r>
      <w:r w:rsidR="00A775E8">
        <w:rPr>
          <w:bCs/>
        </w:rPr>
        <w:t>ı olarak ödenecek bedelin % 6'sı</w:t>
      </w:r>
      <w:r w:rsidRPr="00F84F10">
        <w:rPr>
          <w:bCs/>
        </w:rPr>
        <w:t>,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lastRenderedPageBreak/>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0023F1">
        <w:rPr>
          <w:rFonts w:eastAsia="Times New Roman"/>
          <w:bCs/>
          <w:color w:val="FF0000"/>
        </w:rPr>
        <w:t>;</w:t>
      </w:r>
      <w:r w:rsidR="008F08EF" w:rsidRPr="000023F1">
        <w:rPr>
          <w:rFonts w:eastAsia="Times New Roman"/>
          <w:b/>
          <w:bCs/>
          <w:color w:val="FF0000"/>
        </w:rPr>
        <w:t xml:space="preserve"> </w:t>
      </w:r>
      <w:r w:rsidR="008F08EF" w:rsidRPr="000023F1">
        <w:rPr>
          <w:rFonts w:eastAsia="Times New Roman"/>
          <w:bCs/>
          <w:color w:val="FF0000"/>
        </w:rPr>
        <w:t>5</w:t>
      </w:r>
      <w:r w:rsidR="00EA7786" w:rsidRPr="000023F1">
        <w:rPr>
          <w:rFonts w:eastAsia="Times New Roman"/>
          <w:bCs/>
          <w:color w:val="FF0000"/>
        </w:rPr>
        <w:t>5</w:t>
      </w:r>
      <w:r w:rsidR="008F08EF" w:rsidRPr="000023F1">
        <w:rPr>
          <w:rFonts w:eastAsia="Times New Roman"/>
          <w:bCs/>
          <w:color w:val="FF0000"/>
        </w:rPr>
        <w:t>’</w:t>
      </w:r>
      <w:r w:rsidR="00EA7786" w:rsidRPr="000023F1">
        <w:rPr>
          <w:rFonts w:eastAsia="Times New Roman"/>
          <w:bCs/>
          <w:color w:val="FF0000"/>
        </w:rPr>
        <w:t>i</w:t>
      </w:r>
      <w:r w:rsidR="002B5BED" w:rsidRPr="000023F1">
        <w:rPr>
          <w:rFonts w:eastAsia="Times New Roman"/>
          <w:bCs/>
          <w:color w:val="FF0000"/>
        </w:rPr>
        <w:t>nci</w:t>
      </w:r>
      <w:r w:rsidRPr="000023F1">
        <w:rPr>
          <w:rFonts w:eastAsia="Times New Roman"/>
          <w:bCs/>
          <w:color w:val="FF0000"/>
        </w:rPr>
        <w:t xml:space="preserve"> Bakım </w:t>
      </w:r>
      <w:r w:rsidR="002B5BED" w:rsidRPr="000023F1">
        <w:rPr>
          <w:rFonts w:eastAsia="Times New Roman"/>
          <w:bCs/>
          <w:color w:val="FF0000"/>
        </w:rPr>
        <w:t>Fabrika Müdürlüğünün</w:t>
      </w:r>
      <w:r w:rsidR="000023F1" w:rsidRPr="000023F1">
        <w:rPr>
          <w:rFonts w:eastAsia="Times New Roman"/>
          <w:bCs/>
          <w:color w:val="FF0000"/>
        </w:rPr>
        <w:t xml:space="preserve"> 2023</w:t>
      </w:r>
      <w:r w:rsidR="002D3CDC" w:rsidRPr="000023F1">
        <w:rPr>
          <w:rFonts w:eastAsia="Times New Roman"/>
          <w:bCs/>
          <w:color w:val="FF0000"/>
        </w:rPr>
        <w:t xml:space="preserve"> Mali yılı 03.</w:t>
      </w:r>
      <w:r w:rsidR="00F84F10" w:rsidRPr="000023F1">
        <w:rPr>
          <w:rFonts w:eastAsia="Times New Roman"/>
          <w:bCs/>
          <w:color w:val="FF0000"/>
        </w:rPr>
        <w:t>0</w:t>
      </w:r>
      <w:r w:rsidR="002D3CDC" w:rsidRPr="000023F1">
        <w:rPr>
          <w:rFonts w:eastAsia="Times New Roman"/>
          <w:bCs/>
          <w:color w:val="FF0000"/>
        </w:rPr>
        <w:t>2.</w:t>
      </w:r>
      <w:r w:rsidR="00CD3680" w:rsidRPr="000023F1">
        <w:rPr>
          <w:rFonts w:eastAsia="Times New Roman"/>
          <w:bCs/>
          <w:color w:val="FF0000"/>
        </w:rPr>
        <w:t>7</w:t>
      </w:r>
      <w:r w:rsidR="00F84F10" w:rsidRPr="000023F1">
        <w:rPr>
          <w:rFonts w:eastAsia="Times New Roman"/>
          <w:bCs/>
          <w:color w:val="FF0000"/>
        </w:rPr>
        <w:t>0</w:t>
      </w:r>
      <w:r w:rsidR="002D3CDC" w:rsidRPr="000023F1">
        <w:rPr>
          <w:rFonts w:eastAsia="Times New Roman"/>
          <w:bCs/>
          <w:color w:val="FF0000"/>
        </w:rPr>
        <w:t>.</w:t>
      </w:r>
      <w:r w:rsidR="00CD3680" w:rsidRPr="000023F1">
        <w:rPr>
          <w:rFonts w:eastAsia="Times New Roman"/>
          <w:bCs/>
          <w:color w:val="FF0000"/>
        </w:rPr>
        <w:t>02</w:t>
      </w:r>
      <w:r w:rsidRPr="000023F1">
        <w:rPr>
          <w:rFonts w:eastAsia="Times New Roman"/>
          <w:bCs/>
          <w:color w:val="FF0000"/>
        </w:rPr>
        <w:t xml:space="preserve"> harcama kalemi </w:t>
      </w:r>
      <w:r w:rsidR="00AD79A2" w:rsidRPr="000023F1">
        <w:rPr>
          <w:rFonts w:eastAsia="Times New Roman"/>
          <w:bCs/>
          <w:color w:val="FF0000"/>
        </w:rPr>
        <w:t>“</w:t>
      </w:r>
      <w:r w:rsidR="000023F1">
        <w:rPr>
          <w:rFonts w:eastAsia="Times New Roman"/>
          <w:bCs/>
          <w:color w:val="FF0000"/>
        </w:rPr>
        <w:t>M0809-</w:t>
      </w:r>
      <w:r w:rsidR="000023F1" w:rsidRPr="000023F1">
        <w:rPr>
          <w:rFonts w:eastAsia="Times New Roman"/>
          <w:bCs/>
          <w:color w:val="FF0000"/>
        </w:rPr>
        <w:t>AFH72İB</w:t>
      </w:r>
      <w:r w:rsidR="000023F1">
        <w:rPr>
          <w:rFonts w:eastAsia="Times New Roman"/>
          <w:bCs/>
          <w:color w:val="FF0000"/>
        </w:rPr>
        <w:t>11/02 Birlik İdame İşletme</w:t>
      </w:r>
      <w:r w:rsidR="00AD79A2" w:rsidRPr="000023F1">
        <w:rPr>
          <w:rFonts w:eastAsia="Times New Roman"/>
          <w:bCs/>
          <w:color w:val="FF0000"/>
        </w:rPr>
        <w:t>’’</w:t>
      </w:r>
      <w:r w:rsidR="00AD79A2">
        <w:rPr>
          <w:rFonts w:eastAsia="Times New Roman"/>
          <w:b/>
          <w:bCs/>
          <w:color w:val="FF0000"/>
        </w:rPr>
        <w:t xml:space="preserve"> </w:t>
      </w:r>
      <w:r w:rsidR="000023F1">
        <w:rPr>
          <w:rFonts w:eastAsia="Times New Roman"/>
          <w:bCs/>
          <w:color w:val="auto"/>
        </w:rPr>
        <w:t>p</w:t>
      </w:r>
      <w:r w:rsidRPr="002D3CDC">
        <w:rPr>
          <w:rFonts w:eastAsia="Times New Roman"/>
          <w:bCs/>
          <w:color w:val="auto"/>
        </w:rPr>
        <w:t xml:space="preserve">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A775E8">
        <w:rPr>
          <w:bCs/>
          <w:color w:val="auto"/>
        </w:rPr>
        <w:t xml:space="preserve">MSB </w:t>
      </w:r>
      <w:r w:rsidR="003740F3" w:rsidRPr="00A775E8">
        <w:rPr>
          <w:bCs/>
          <w:color w:val="auto"/>
        </w:rPr>
        <w:t>Erzurum</w:t>
      </w:r>
      <w:r w:rsidR="00EA7786" w:rsidRPr="00A775E8">
        <w:rPr>
          <w:bCs/>
          <w:color w:val="auto"/>
        </w:rPr>
        <w:t xml:space="preserve"> </w:t>
      </w:r>
      <w:r w:rsidR="00F84F10" w:rsidRPr="00A775E8">
        <w:rPr>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0023F1">
        <w:rPr>
          <w:rFonts w:eastAsia="Times New Roman"/>
          <w:bCs/>
          <w:color w:val="FF0000"/>
        </w:rPr>
        <w:t>2023</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lastRenderedPageBreak/>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sidRPr="00A775E8">
        <w:rPr>
          <w:bCs/>
          <w:color w:val="FF0000"/>
        </w:rPr>
        <w:t>1</w:t>
      </w:r>
      <w:r w:rsidR="002B5BED" w:rsidRPr="00A775E8">
        <w:rPr>
          <w:bCs/>
          <w:color w:val="FF0000"/>
        </w:rPr>
        <w:t xml:space="preserve"> (</w:t>
      </w:r>
      <w:r w:rsidR="00D56354" w:rsidRPr="00A775E8">
        <w:rPr>
          <w:bCs/>
          <w:color w:val="FF0000"/>
        </w:rPr>
        <w:t>Bir</w:t>
      </w:r>
      <w:r w:rsidR="002B5BED" w:rsidRPr="00A775E8">
        <w:rPr>
          <w:bCs/>
          <w:color w:val="FF0000"/>
        </w:rPr>
        <w:t xml:space="preserve">) </w:t>
      </w:r>
      <w:r w:rsidRPr="00A775E8">
        <w:rPr>
          <w:bCs/>
          <w:color w:val="FF0000"/>
        </w:rPr>
        <w:t xml:space="preserve">yıl </w:t>
      </w:r>
      <w:r w:rsidRPr="00F84F10">
        <w:rPr>
          <w:bCs/>
        </w:rPr>
        <w:t>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lastRenderedPageBreak/>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lastRenderedPageBreak/>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F84F10">
        <w:rPr>
          <w:bCs/>
        </w:rPr>
        <w:lastRenderedPageBreak/>
        <w:t xml:space="preserve">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proofErr w:type="gramStart"/>
      <w:r w:rsidRPr="00F84F10">
        <w:rPr>
          <w:rFonts w:eastAsia="Times New Roman"/>
          <w:b/>
          <w:bCs/>
          <w:color w:val="000000" w:themeColor="text1"/>
        </w:rPr>
        <w:t>30.1</w:t>
      </w:r>
      <w:r w:rsidR="00C4100C">
        <w:rPr>
          <w:rFonts w:eastAsia="Times New Roman"/>
          <w:bCs/>
          <w:color w:val="000000" w:themeColor="text1"/>
        </w:rPr>
        <w:t>.</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611A71">
        <w:rPr>
          <w:color w:val="FF0000"/>
        </w:rPr>
        <w:t>2</w:t>
      </w:r>
      <w:r w:rsidR="005D1AF8" w:rsidRPr="00DB164B">
        <w:rPr>
          <w:color w:val="FF0000"/>
        </w:rPr>
        <w:t xml:space="preserve"> (</w:t>
      </w:r>
      <w:r w:rsidR="00611A71">
        <w:rPr>
          <w:color w:val="FF0000"/>
        </w:rPr>
        <w:t>İki</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0023F1">
        <w:rPr>
          <w:color w:val="FF0000"/>
        </w:rPr>
        <w:t>Gaz ve Tüp m</w:t>
      </w:r>
      <w:r w:rsidR="00C4100C">
        <w:rPr>
          <w:color w:val="FF0000"/>
        </w:rPr>
        <w:t xml:space="preserve">alzemelerinin </w:t>
      </w:r>
      <w:r w:rsidR="00CD3680" w:rsidRPr="00F84F10">
        <w:rPr>
          <w:color w:val="000000" w:themeColor="text1"/>
        </w:rPr>
        <w:t xml:space="preserve">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lastRenderedPageBreak/>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lastRenderedPageBreak/>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0023F1" w:rsidRDefault="000023F1" w:rsidP="00D072D1">
      <w:pPr>
        <w:overflowPunct/>
        <w:autoSpaceDE/>
        <w:autoSpaceDN/>
        <w:spacing w:before="80"/>
        <w:jc w:val="both"/>
        <w:divId w:val="135076975"/>
        <w:rPr>
          <w:rFonts w:eastAsia="Times New Roman"/>
          <w:b/>
          <w:bCs/>
          <w:color w:val="auto"/>
        </w:rPr>
      </w:pP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lastRenderedPageBreak/>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r w:rsidR="000023F1" w:rsidRPr="006201B9">
        <w:rPr>
          <w:rFonts w:eastAsia="Times New Roman"/>
          <w:bCs/>
          <w:color w:val="FF0000"/>
        </w:rPr>
        <w:t xml:space="preserve">Tüplerin dolum işlemini yapacak yüklenici, </w:t>
      </w:r>
      <w:proofErr w:type="spellStart"/>
      <w:r w:rsidR="000023F1" w:rsidRPr="006201B9">
        <w:rPr>
          <w:rFonts w:eastAsia="Times New Roman"/>
          <w:bCs/>
          <w:color w:val="FF0000"/>
        </w:rPr>
        <w:t>Tşn</w:t>
      </w:r>
      <w:proofErr w:type="spellEnd"/>
      <w:r w:rsidR="000023F1" w:rsidRPr="006201B9">
        <w:rPr>
          <w:rFonts w:eastAsia="Times New Roman"/>
          <w:bCs/>
          <w:color w:val="FF0000"/>
        </w:rPr>
        <w:t>. (</w:t>
      </w:r>
      <w:proofErr w:type="spellStart"/>
      <w:r w:rsidR="000023F1" w:rsidRPr="006201B9">
        <w:rPr>
          <w:rFonts w:eastAsia="Times New Roman"/>
          <w:bCs/>
          <w:color w:val="FF0000"/>
        </w:rPr>
        <w:t>Dy</w:t>
      </w:r>
      <w:proofErr w:type="spellEnd"/>
      <w:r w:rsidR="000023F1" w:rsidRPr="006201B9">
        <w:rPr>
          <w:rFonts w:eastAsia="Times New Roman"/>
          <w:bCs/>
          <w:color w:val="FF0000"/>
        </w:rPr>
        <w:t>.)-326 Mal Saymanlığının deposunda bulunan boş tüplerin dolum yapılıp yapılamayacağın kontrolü ile</w:t>
      </w:r>
      <w:r w:rsidR="006201B9">
        <w:rPr>
          <w:rFonts w:eastAsia="Times New Roman"/>
          <w:bCs/>
          <w:color w:val="FF0000"/>
        </w:rPr>
        <w:t xml:space="preserve"> de</w:t>
      </w:r>
      <w:r w:rsidR="000023F1" w:rsidRPr="006201B9">
        <w:rPr>
          <w:rFonts w:eastAsia="Times New Roman"/>
          <w:bCs/>
          <w:color w:val="FF0000"/>
        </w:rPr>
        <w:t xml:space="preserve"> görevlidir. Yüklenici, yapmış olduğu inceleme neticesinde dolum yapılması uygun olmayan </w:t>
      </w:r>
      <w:r w:rsidR="006201B9" w:rsidRPr="006201B9">
        <w:rPr>
          <w:rFonts w:eastAsia="Times New Roman"/>
          <w:bCs/>
          <w:color w:val="FF0000"/>
        </w:rPr>
        <w:t>tüpler için teknik rapor verecek</w:t>
      </w:r>
      <w:r w:rsidR="006201B9">
        <w:rPr>
          <w:rFonts w:eastAsia="Times New Roman"/>
          <w:bCs/>
          <w:color w:val="FF0000"/>
        </w:rPr>
        <w:t xml:space="preserve"> ve idareden ilave bir ücret talep etmeyecektir.</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A775E8" w:rsidRDefault="00A775E8"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lastRenderedPageBreak/>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w:t>
      </w:r>
      <w:r w:rsidR="00A775E8">
        <w:rPr>
          <w:b/>
          <w:bCs/>
          <w:color w:val="auto"/>
        </w:rPr>
        <w:t xml:space="preserve"> </w:t>
      </w:r>
      <w:r w:rsidR="009C34AF" w:rsidRPr="00F84F10">
        <w:rPr>
          <w:b/>
          <w:bCs/>
          <w:color w:val="auto"/>
        </w:rPr>
        <w:t>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r w:rsidRPr="00F84F10">
        <w:rPr>
          <w:bCs/>
        </w:rPr>
        <w:lastRenderedPageBreak/>
        <w:t xml:space="preserve">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 xml:space="preserve">üklenici risk ve masrafları kendisine ait olmak </w:t>
      </w:r>
      <w:r w:rsidRPr="00F84F10">
        <w:rPr>
          <w:bCs/>
        </w:rPr>
        <w:lastRenderedPageBreak/>
        <w:t>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w:t>
      </w:r>
      <w:r w:rsidRPr="00F84F10">
        <w:rPr>
          <w:bCs/>
        </w:rPr>
        <w:lastRenderedPageBreak/>
        <w:t xml:space="preserve">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Maliye Bakanlığına bağlı Defterdarlıklar, Mal Müdürlükleri, Saymanlıklar ya da Muhasebe Müdürlüklerine yatırılması ve makbuzunun ilgi</w:t>
      </w:r>
      <w:r w:rsidR="00A775E8">
        <w:rPr>
          <w:rFonts w:eastAsia="Times New Roman"/>
          <w:bCs/>
          <w:color w:val="auto"/>
        </w:rPr>
        <w:t>li Saymanlığa</w:t>
      </w:r>
      <w:r w:rsidRPr="00F84F10">
        <w:rPr>
          <w:rFonts w:eastAsia="Times New Roman"/>
          <w:bCs/>
          <w:color w:val="auto"/>
        </w:rPr>
        <w:t xml:space="preserve">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w:t>
      </w:r>
      <w:r w:rsidRPr="00F84F10">
        <w:rPr>
          <w:rFonts w:eastAsia="Times New Roman"/>
          <w:bCs/>
          <w:color w:val="auto"/>
        </w:rPr>
        <w:lastRenderedPageBreak/>
        <w:t xml:space="preserve">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207420" w:rsidRPr="00F84F10" w:rsidRDefault="00486F6C" w:rsidP="00D072D1">
      <w:pPr>
        <w:spacing w:before="120"/>
        <w:jc w:val="both"/>
        <w:divId w:val="135076975"/>
        <w:rPr>
          <w:b/>
          <w:bCs/>
          <w:color w:val="auto"/>
        </w:rPr>
      </w:pPr>
      <w:r w:rsidRPr="00F84F10">
        <w:rPr>
          <w:b/>
          <w:bCs/>
          <w:color w:val="auto"/>
        </w:rPr>
        <w:t>Madde 46 - Sözleşmenin imzalanması</w:t>
      </w:r>
      <w:bookmarkStart w:id="0" w:name="_GoBack"/>
      <w:bookmarkEnd w:id="0"/>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207420">
        <w:rPr>
          <w:b/>
          <w:bCs/>
          <w:color w:val="auto"/>
        </w:rPr>
        <w:t>.…</w:t>
      </w:r>
      <w:proofErr w:type="gramEnd"/>
      <w:r w:rsidR="00207420">
        <w:rPr>
          <w:b/>
          <w:bCs/>
          <w:color w:val="auto"/>
        </w:rPr>
        <w:t xml:space="preserve"> /</w:t>
      </w:r>
      <w:proofErr w:type="gramStart"/>
      <w:r w:rsidR="00207420">
        <w:rPr>
          <w:b/>
          <w:bCs/>
          <w:color w:val="auto"/>
        </w:rPr>
        <w:t>….</w:t>
      </w:r>
      <w:proofErr w:type="gramEnd"/>
      <w:r w:rsidR="00207420">
        <w:rPr>
          <w:b/>
          <w:bCs/>
          <w:color w:val="auto"/>
        </w:rPr>
        <w:t xml:space="preserve"> / 2023</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207420">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023F1"/>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0F6FE4"/>
    <w:rsid w:val="0010463B"/>
    <w:rsid w:val="00106F58"/>
    <w:rsid w:val="00120F93"/>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07420"/>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11A71"/>
    <w:rsid w:val="006201B9"/>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2F2D"/>
    <w:rsid w:val="007861CF"/>
    <w:rsid w:val="00786BCC"/>
    <w:rsid w:val="0079354E"/>
    <w:rsid w:val="007941D0"/>
    <w:rsid w:val="007A78E1"/>
    <w:rsid w:val="007C0F43"/>
    <w:rsid w:val="007C15A9"/>
    <w:rsid w:val="007C3728"/>
    <w:rsid w:val="007D21D4"/>
    <w:rsid w:val="007E4EBD"/>
    <w:rsid w:val="007F7DF6"/>
    <w:rsid w:val="00800B8E"/>
    <w:rsid w:val="00801FA2"/>
    <w:rsid w:val="00804C3B"/>
    <w:rsid w:val="00804E4E"/>
    <w:rsid w:val="00812FAA"/>
    <w:rsid w:val="008131C4"/>
    <w:rsid w:val="00821483"/>
    <w:rsid w:val="008279AA"/>
    <w:rsid w:val="00827C11"/>
    <w:rsid w:val="008328BE"/>
    <w:rsid w:val="00832A9A"/>
    <w:rsid w:val="00850373"/>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775E8"/>
    <w:rsid w:val="00A80FBB"/>
    <w:rsid w:val="00A85E5C"/>
    <w:rsid w:val="00A85EA5"/>
    <w:rsid w:val="00AB0C06"/>
    <w:rsid w:val="00AB5BA4"/>
    <w:rsid w:val="00AC0514"/>
    <w:rsid w:val="00AC6E51"/>
    <w:rsid w:val="00AD269E"/>
    <w:rsid w:val="00AD417D"/>
    <w:rsid w:val="00AD79A2"/>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3719"/>
    <w:rsid w:val="00B9450D"/>
    <w:rsid w:val="00BB778E"/>
    <w:rsid w:val="00BC1682"/>
    <w:rsid w:val="00BC2702"/>
    <w:rsid w:val="00BE720C"/>
    <w:rsid w:val="00C00CEA"/>
    <w:rsid w:val="00C0429B"/>
    <w:rsid w:val="00C20D93"/>
    <w:rsid w:val="00C34E6E"/>
    <w:rsid w:val="00C358B2"/>
    <w:rsid w:val="00C4100C"/>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663E0"/>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540D8"/>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C49D-A2D5-433C-B611-67B9B2AA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16</Pages>
  <Words>8271</Words>
  <Characters>47146</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93</cp:revision>
  <cp:lastPrinted>2023-03-21T13:02:00Z</cp:lastPrinted>
  <dcterms:created xsi:type="dcterms:W3CDTF">2019-07-08T10:30:00Z</dcterms:created>
  <dcterms:modified xsi:type="dcterms:W3CDTF">2023-03-22T13:34:00Z</dcterms:modified>
</cp:coreProperties>
</file>