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257F45" w:rsidP="00F35D9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40</w:t>
            </w:r>
            <w:r w:rsidR="00CF3745" w:rsidRPr="00CF3745">
              <w:rPr>
                <w:rFonts w:ascii="Times New Roman" w:hAnsi="Times New Roman" w:cs="Times New Roman"/>
                <w:color w:val="FF0000"/>
                <w:sz w:val="24"/>
                <w:szCs w:val="24"/>
              </w:rPr>
              <w:t xml:space="preserve"> (</w:t>
            </w:r>
            <w:r>
              <w:rPr>
                <w:rFonts w:ascii="Times New Roman" w:hAnsi="Times New Roman" w:cs="Times New Roman"/>
                <w:color w:val="FF0000"/>
                <w:sz w:val="24"/>
                <w:szCs w:val="24"/>
              </w:rPr>
              <w:t>KIRK</w:t>
            </w:r>
            <w:r w:rsidR="00A01EE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40</w:t>
            </w:r>
            <w:r w:rsidR="00800C8C" w:rsidRPr="00CF3745">
              <w:rPr>
                <w:rFonts w:ascii="Times New Roman" w:hAnsi="Times New Roman" w:cs="Times New Roman"/>
                <w:color w:val="FF0000"/>
                <w:sz w:val="24"/>
                <w:szCs w:val="24"/>
              </w:rPr>
              <w:t xml:space="preserve"> (</w:t>
            </w:r>
            <w:r>
              <w:rPr>
                <w:rFonts w:ascii="Times New Roman" w:hAnsi="Times New Roman" w:cs="Times New Roman"/>
                <w:color w:val="FF0000"/>
                <w:sz w:val="24"/>
                <w:szCs w:val="24"/>
              </w:rPr>
              <w:t>KIRK</w:t>
            </w:r>
            <w:r w:rsidR="00800C8C">
              <w:rPr>
                <w:rFonts w:ascii="Times New Roman" w:hAnsi="Times New Roman" w:cs="Times New Roman"/>
                <w:color w:val="FF0000"/>
                <w:sz w:val="24"/>
                <w:szCs w:val="24"/>
              </w:rPr>
              <w:t xml:space="preserve">) </w:t>
            </w:r>
            <w:r w:rsidR="008C1034">
              <w:rPr>
                <w:rFonts w:ascii="Times New Roman" w:hAnsi="Times New Roman" w:cs="Times New Roman"/>
                <w:color w:val="FF0000"/>
                <w:sz w:val="24"/>
                <w:szCs w:val="24"/>
              </w:rPr>
              <w:t xml:space="preserve"> </w:t>
            </w:r>
            <w:r w:rsidR="00CF3745" w:rsidRPr="00CF3745">
              <w:rPr>
                <w:rFonts w:ascii="Times New Roman" w:hAnsi="Times New Roman" w:cs="Times New Roman"/>
                <w:color w:val="FF0000"/>
                <w:sz w:val="24"/>
                <w:szCs w:val="24"/>
              </w:rPr>
              <w:t xml:space="preserve">KISIM </w:t>
            </w:r>
            <w:r w:rsidR="00A01EEF">
              <w:rPr>
                <w:rFonts w:ascii="Times New Roman" w:hAnsi="Times New Roman" w:cs="Times New Roman"/>
                <w:color w:val="FF0000"/>
                <w:sz w:val="24"/>
                <w:szCs w:val="24"/>
              </w:rPr>
              <w:t xml:space="preserve">HAMMADDE </w:t>
            </w:r>
            <w:r w:rsidR="00CF3745">
              <w:rPr>
                <w:rFonts w:ascii="Times New Roman" w:hAnsi="Times New Roman" w:cs="Times New Roman"/>
                <w:color w:val="FF0000"/>
                <w:sz w:val="24"/>
                <w:szCs w:val="24"/>
              </w:rPr>
              <w:t>ALIMI</w:t>
            </w:r>
            <w:r w:rsidR="00FE3079">
              <w:rPr>
                <w:rFonts w:ascii="Times New Roman" w:hAnsi="Times New Roman" w:cs="Times New Roman"/>
                <w:color w:val="FF0000"/>
                <w:sz w:val="24"/>
                <w:szCs w:val="24"/>
              </w:rPr>
              <w:t xml:space="preserve">NA </w:t>
            </w:r>
            <w:r w:rsidR="00EC3E7D" w:rsidRPr="00D7524F">
              <w:rPr>
                <w:rFonts w:ascii="Times New Roman" w:hAnsi="Times New Roman" w:cs="Times New Roman"/>
                <w:color w:val="FF0000"/>
                <w:sz w:val="24"/>
                <w:szCs w:val="24"/>
              </w:rPr>
              <w:t>AİT TİP SÖZLEŞME TASARISI</w:t>
            </w:r>
          </w:p>
          <w:p w:rsidR="00EC3E7D" w:rsidRPr="00D7524F" w:rsidRDefault="00EC3E7D" w:rsidP="00C24934">
            <w:pPr>
              <w:jc w:val="both"/>
              <w:rPr>
                <w:b/>
                <w:bCs/>
              </w:rPr>
            </w:pP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800C8C">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760EB0">
              <w:rPr>
                <w:rFonts w:ascii="Times New Roman" w:hAnsi="Times New Roman" w:cs="Times New Roman"/>
                <w:b w:val="0"/>
                <w:i w:val="0"/>
                <w:color w:val="auto"/>
              </w:rPr>
              <w:t>07</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B16E7C" w:rsidRPr="00D7524F" w:rsidRDefault="00EC3E7D" w:rsidP="00F35D9D">
      <w:pPr>
        <w:jc w:val="center"/>
        <w:rPr>
          <w:b/>
          <w:bCs/>
          <w:color w:val="auto"/>
        </w:rPr>
      </w:pPr>
      <w:r w:rsidRPr="00D7524F">
        <w:rPr>
          <w:b/>
          <w:bCs/>
          <w:color w:val="auto"/>
        </w:rPr>
        <w:lastRenderedPageBreak/>
        <w:t>İ</w:t>
      </w:r>
      <w:r w:rsidR="00B16E7C" w:rsidRPr="00D7524F">
        <w:rPr>
          <w:b/>
          <w:bCs/>
          <w:color w:val="auto"/>
        </w:rPr>
        <w:t>ÇİNDEKİLER</w:t>
      </w:r>
    </w:p>
    <w:p w:rsidR="00B16E7C" w:rsidRDefault="00B16E7C"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257F45" w:rsidRPr="00257F45">
        <w:rPr>
          <w:color w:val="FF0000"/>
        </w:rPr>
        <w:t>40 (KIRK) KALEM 40 (KIRK)  KISIM HAMMADDE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257F45" w:rsidRPr="00257F45">
        <w:rPr>
          <w:color w:val="FF0000"/>
        </w:rPr>
        <w:t>40 (KIRK) KALEM 40 (KIRK)  KISIM HAMMADDE ALIMI</w:t>
      </w:r>
      <w:r w:rsidR="00DC28EA" w:rsidRPr="00D7524F">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lastRenderedPageBreak/>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B16E7C" w:rsidRPr="00F27355" w:rsidRDefault="00F27355" w:rsidP="00C24934">
      <w:pPr>
        <w:jc w:val="both"/>
        <w:rPr>
          <w:color w:val="1F497D" w:themeColor="text2"/>
        </w:rPr>
      </w:pPr>
      <w:r w:rsidRPr="00F27355">
        <w:rPr>
          <w:b/>
          <w:bCs/>
          <w:color w:val="1F497D" w:themeColor="text2"/>
        </w:rPr>
        <w:t>MADDE 7 - SÖZLEŞME BEDELİNE DÂHİL GİDERLER</w:t>
      </w:r>
    </w:p>
    <w:p w:rsidR="00AB6D42" w:rsidRDefault="00AB6D42" w:rsidP="00C24934">
      <w:pPr>
        <w:jc w:val="both"/>
        <w:rPr>
          <w:b/>
          <w:bCs/>
          <w:color w:val="auto"/>
        </w:rPr>
      </w:pP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006D9E" w:rsidRPr="00006D9E" w:rsidRDefault="006B6858" w:rsidP="00006D9E">
      <w:pPr>
        <w:jc w:val="both"/>
        <w:rPr>
          <w:snapToGrid w:val="0"/>
          <w:color w:val="C00000"/>
        </w:rPr>
      </w:pPr>
      <w:r w:rsidRPr="00D7524F">
        <w:rPr>
          <w:b/>
          <w:color w:val="auto"/>
        </w:rPr>
        <w:t>7.1.2</w:t>
      </w:r>
      <w:r w:rsidR="008A289C" w:rsidRPr="00D7524F">
        <w:rPr>
          <w:b/>
          <w:color w:val="auto"/>
        </w:rPr>
        <w:t>.</w:t>
      </w:r>
      <w:r w:rsidR="008A289C" w:rsidRPr="00D7524F">
        <w:rPr>
          <w:b/>
          <w:snapToGrid w:val="0"/>
          <w:color w:val="auto"/>
        </w:rPr>
        <w:t xml:space="preserve"> </w:t>
      </w:r>
      <w:r w:rsidR="00257F45" w:rsidRPr="00006D9E">
        <w:rPr>
          <w:snapToGrid w:val="0"/>
          <w:color w:val="auto"/>
        </w:rPr>
        <w:t xml:space="preserve">Ek-1 ihtiyaç listesinde </w:t>
      </w:r>
      <w:r w:rsidR="00006D9E" w:rsidRPr="00006D9E">
        <w:rPr>
          <w:snapToGrid w:val="0"/>
          <w:color w:val="auto"/>
        </w:rPr>
        <w:t xml:space="preserve">mevcut; </w:t>
      </w:r>
      <w:r w:rsidR="00006D9E" w:rsidRPr="00006D9E">
        <w:rPr>
          <w:snapToGrid w:val="0"/>
          <w:color w:val="0070C0"/>
        </w:rPr>
        <w:t>1 (dahil) – 31 (dahil)’inci kısım arasında bulunan malzemeler için</w:t>
      </w:r>
      <w:r w:rsidR="00257F45" w:rsidRPr="00257F45">
        <w:rPr>
          <w:snapToGrid w:val="0"/>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006D9E">
        <w:rPr>
          <w:snapToGrid w:val="0"/>
          <w:color w:val="C00000"/>
          <w:u w:val="single"/>
        </w:rPr>
        <w:t>KDV</w:t>
      </w:r>
      <w:r w:rsidR="00006D9E" w:rsidRPr="00006D9E">
        <w:rPr>
          <w:snapToGrid w:val="0"/>
          <w:color w:val="C00000"/>
          <w:u w:val="single"/>
        </w:rPr>
        <w:t xml:space="preserve"> İstisnası Uygulanacaktır.</w:t>
      </w:r>
      <w:r w:rsidR="00006D9E">
        <w:rPr>
          <w:b/>
          <w:snapToGrid w:val="0"/>
          <w:color w:val="C00000"/>
        </w:rPr>
        <w:t xml:space="preserve"> </w:t>
      </w:r>
      <w:r w:rsidR="00006D9E" w:rsidRPr="00006D9E">
        <w:rPr>
          <w:snapToGrid w:val="0"/>
          <w:color w:val="0070C0"/>
        </w:rPr>
        <w:t>32 (dahil)</w:t>
      </w:r>
      <w:r w:rsidR="00F45AC8">
        <w:rPr>
          <w:snapToGrid w:val="0"/>
          <w:color w:val="0070C0"/>
        </w:rPr>
        <w:t xml:space="preserve"> </w:t>
      </w:r>
      <w:r w:rsidR="00F45AC8" w:rsidRPr="00006D9E">
        <w:rPr>
          <w:snapToGrid w:val="0"/>
          <w:color w:val="0070C0"/>
        </w:rPr>
        <w:t xml:space="preserve">– </w:t>
      </w:r>
      <w:r w:rsidR="00006D9E" w:rsidRPr="00006D9E">
        <w:rPr>
          <w:snapToGrid w:val="0"/>
          <w:color w:val="0070C0"/>
        </w:rPr>
        <w:t>40 (dahil)’ıncı kısım arasında bulunan malzemeler için</w:t>
      </w:r>
      <w:r w:rsidR="00006D9E">
        <w:rPr>
          <w:snapToGrid w:val="0"/>
          <w:color w:val="0070C0"/>
        </w:rPr>
        <w:t>,</w:t>
      </w:r>
      <w:r w:rsidR="00006D9E" w:rsidRPr="00006D9E">
        <w:rPr>
          <w:snapToGrid w:val="0"/>
          <w:color w:val="C00000"/>
        </w:rPr>
        <w:t xml:space="preserve"> </w:t>
      </w:r>
      <w:r w:rsidR="00006D9E" w:rsidRPr="00006D9E">
        <w:t xml:space="preserve">yürürlükteki mevzuata uygun olarak </w:t>
      </w:r>
      <w:r w:rsidR="00006D9E" w:rsidRPr="00006D9E">
        <w:rPr>
          <w:color w:val="C00000"/>
          <w:u w:val="single"/>
        </w:rPr>
        <w:t>Katma Değer Vergisi İdare Tarafından Yükleniciye Ödenecektir.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8C323F" w:rsidRDefault="008C323F" w:rsidP="00C24934">
      <w:pPr>
        <w:pStyle w:val="ListeParagraf"/>
        <w:numPr>
          <w:ilvl w:val="0"/>
          <w:numId w:val="6"/>
        </w:numPr>
        <w:ind w:left="567" w:hanging="142"/>
        <w:jc w:val="both"/>
        <w:rPr>
          <w:rStyle w:val="richtext"/>
          <w:rFonts w:eastAsia="Times New Roman"/>
          <w:color w:val="auto"/>
        </w:rPr>
      </w:pPr>
      <w:r>
        <w:rPr>
          <w:rStyle w:val="richtext"/>
          <w:bCs/>
          <w:color w:val="auto"/>
        </w:rPr>
        <w:t>Garanti Taahhütnamesi</w:t>
      </w:r>
    </w:p>
    <w:p w:rsidR="00FA305F" w:rsidRPr="008C323F" w:rsidRDefault="008C323F" w:rsidP="0065401A">
      <w:pPr>
        <w:pStyle w:val="ListeParagraf"/>
        <w:numPr>
          <w:ilvl w:val="0"/>
          <w:numId w:val="6"/>
        </w:numPr>
        <w:ind w:left="567" w:hanging="142"/>
        <w:jc w:val="both"/>
        <w:rPr>
          <w:b/>
          <w:bCs/>
          <w:color w:val="auto"/>
        </w:rPr>
      </w:pPr>
      <w:r w:rsidRPr="008C323F">
        <w:rPr>
          <w:rStyle w:val="richtext"/>
          <w:bCs/>
          <w:color w:val="auto"/>
        </w:rPr>
        <w:t>Malzeme Bilgi Formu</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D7524F" w:rsidRPr="00AB6D42"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AB6D42" w:rsidRPr="00006D9E" w:rsidRDefault="00B16E7C" w:rsidP="00006D9E">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AB306E" w:rsidRPr="00AB306E">
        <w:rPr>
          <w:color w:val="FF0000"/>
        </w:rPr>
        <w:t>30</w:t>
      </w:r>
      <w:r w:rsidR="00800C8C" w:rsidRPr="00AB306E">
        <w:rPr>
          <w:color w:val="FF0000"/>
        </w:rPr>
        <w:t xml:space="preserve"> </w:t>
      </w:r>
      <w:r w:rsidR="00281F8D" w:rsidRPr="00281F8D">
        <w:rPr>
          <w:color w:val="FF0000"/>
        </w:rPr>
        <w:t>(</w:t>
      </w:r>
      <w:r w:rsidR="00AB306E">
        <w:rPr>
          <w:color w:val="FF0000"/>
        </w:rPr>
        <w:t>Otuz</w:t>
      </w:r>
      <w:r w:rsidR="00281F8D" w:rsidRPr="00281F8D">
        <w:rPr>
          <w:color w:val="FF0000"/>
        </w:rPr>
        <w:t>)</w:t>
      </w:r>
      <w:r w:rsidRPr="00281F8D">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 xml:space="preserve">manında belirtilen mal/malzemeler; yüklenici tarafından cins ve teslim miktarına (Gerekiyorsa numune payları dâhil) uygun olarak teslim edilecektir. Teslimatlar iş günü ve iş </w:t>
      </w:r>
      <w:r w:rsidR="00B16E7C" w:rsidRPr="00D7524F">
        <w:rPr>
          <w:color w:val="auto"/>
        </w:rPr>
        <w:lastRenderedPageBreak/>
        <w:t>saatlerinde yapılır. Taahhüt edilen malın son teslim gününün resmi/idari tatile gelmesi durumunda bir 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w:t>
      </w:r>
      <w:r w:rsidRPr="00D7524F">
        <w:rPr>
          <w:rFonts w:ascii="Times New Roman" w:hAnsi="Times New Roman"/>
          <w:szCs w:val="24"/>
        </w:rPr>
        <w:lastRenderedPageBreak/>
        <w:t>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56A41"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760EB0">
        <w:rPr>
          <w:rStyle w:val="richtext"/>
          <w:bCs/>
          <w:color w:val="FF0000"/>
        </w:rPr>
        <w:t>Zırhlı Birlikler Okulu ve Eğitim Merkezi Saymanlık Müdürlüğünce (06353)</w:t>
      </w:r>
      <w:r w:rsidRPr="00760EB0">
        <w:rPr>
          <w:color w:val="FF0000"/>
        </w:rPr>
        <w:t xml:space="preserve"> 'de yapılacaktır.</w:t>
      </w:r>
      <w:r w:rsidRPr="00D7524F">
        <w:rPr>
          <w:color w:val="auto"/>
        </w:rPr>
        <w:t xml:space="preserve"> Yükleni</w:t>
      </w:r>
      <w:r w:rsidR="004A78C5" w:rsidRPr="00D7524F">
        <w:rPr>
          <w:color w:val="auto"/>
        </w:rPr>
        <w:t>ci tarafından alım konusu malın</w:t>
      </w:r>
      <w:r w:rsidRPr="00D7524F">
        <w:rPr>
          <w:color w:val="auto"/>
        </w:rPr>
        <w:t xml:space="preserve">, sözleşme </w:t>
      </w:r>
      <w:r w:rsidRPr="00D7524F">
        <w:rPr>
          <w:color w:val="auto"/>
        </w:rPr>
        <w:lastRenderedPageBreak/>
        <w:t xml:space="preserve">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C24934">
      <w:pPr>
        <w:jc w:val="both"/>
        <w:rPr>
          <w:color w:val="auto"/>
        </w:rPr>
      </w:pPr>
    </w:p>
    <w:p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Pr="00CB1BAE">
        <w:rPr>
          <w:b/>
          <w:color w:val="C00000"/>
        </w:rPr>
        <w:t>03.2.7.02-1 “GÜVENLİK VE SAVUNMAYA YÖNELİK İŞL.</w:t>
      </w:r>
      <w:r w:rsidR="004A78C5" w:rsidRPr="00CB1BAE">
        <w:rPr>
          <w:b/>
          <w:color w:val="C00000"/>
        </w:rPr>
        <w:t xml:space="preserve"> </w:t>
      </w:r>
      <w:r w:rsidRPr="00CB1BAE">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800C8C">
        <w:rPr>
          <w:b/>
          <w:color w:val="C00000"/>
        </w:rPr>
        <w:t>5</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 xml:space="preserve">len zarar ve </w:t>
      </w:r>
      <w:r w:rsidR="00760EB0">
        <w:rPr>
          <w:color w:val="auto"/>
        </w:rPr>
        <w:lastRenderedPageBreak/>
        <w:t>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lastRenderedPageBreak/>
        <w:t xml:space="preserve">Malın temini ile sair yükümlülüklerin yerine getirilmesi nedeniyle üçüncü kişilerin can ve mal güvenliğinin sağlanması amacıyla ilgili mevzuat uyarınca her türlü tedbiri almak, zorundadır. </w:t>
      </w:r>
    </w:p>
    <w:p w:rsidR="00B16E7C" w:rsidRPr="00D7524F"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lastRenderedPageBreak/>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lastRenderedPageBreak/>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CB1BAE" w:rsidRDefault="00CB1BAE" w:rsidP="00C24934">
      <w:pPr>
        <w:jc w:val="both"/>
        <w:rPr>
          <w:b/>
          <w:color w:val="auto"/>
        </w:rPr>
      </w:pP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280E7A" w:rsidRPr="00D7524F" w:rsidRDefault="00B16E7C" w:rsidP="00C24934">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A011D1">
      <w:pPr>
        <w:rPr>
          <w:color w:val="auto"/>
        </w:rPr>
      </w:pPr>
      <w:r w:rsidRPr="00D7524F">
        <w:rPr>
          <w:b/>
          <w:color w:val="auto"/>
        </w:rPr>
        <w:t>ETİKET ÖRNEKLERİ</w:t>
      </w:r>
    </w:p>
    <w:p w:rsidR="00C70454" w:rsidRPr="00D7524F"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r>
      <w:r w:rsidR="00B16E7C" w:rsidRPr="00D7524F">
        <w:rPr>
          <w:color w:val="auto"/>
        </w:rPr>
        <w:lastRenderedPageBreak/>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CB1BAE" w:rsidRDefault="00CB1BAE" w:rsidP="00A011D1">
      <w:pPr>
        <w:rPr>
          <w:b/>
          <w:color w:val="auto"/>
        </w:rPr>
      </w:pPr>
    </w:p>
    <w:p w:rsidR="00B16E7C" w:rsidRPr="00D7524F" w:rsidRDefault="00ED6F62" w:rsidP="00A011D1">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006D9E" w:rsidRDefault="00006D9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lastRenderedPageBreak/>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lastRenderedPageBreak/>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6F2894" w:rsidRPr="00101B02" w:rsidRDefault="006F2894" w:rsidP="00C24934">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C24934" w:rsidRDefault="00C24934" w:rsidP="00C24934">
      <w:pPr>
        <w:tabs>
          <w:tab w:val="left" w:pos="709"/>
          <w:tab w:val="left" w:pos="851"/>
          <w:tab w:val="left" w:pos="993"/>
          <w:tab w:val="left" w:pos="1418"/>
          <w:tab w:val="left" w:pos="1701"/>
        </w:tabs>
        <w:jc w:val="both"/>
        <w:rPr>
          <w:b/>
          <w:bCs/>
          <w:color w:val="auto"/>
          <w:szCs w:val="22"/>
        </w:rPr>
      </w:pP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101B02">
        <w:rPr>
          <w:rFonts w:ascii="Times New Roman" w:hAnsi="Times New Roman" w:cs="Times New Roman"/>
          <w:b w:val="0"/>
          <w:bCs w:val="0"/>
          <w:color w:val="auto"/>
          <w:sz w:val="24"/>
          <w:szCs w:val="22"/>
        </w:rPr>
        <w:lastRenderedPageBreak/>
        <w:t>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lastRenderedPageBreak/>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A01EEF">
        <w:rPr>
          <w:bCs/>
          <w:color w:val="auto"/>
        </w:rPr>
        <w:t>M</w:t>
      </w:r>
      <w:r w:rsidR="0091733E" w:rsidRPr="00A01EEF">
        <w:rPr>
          <w:bCs/>
          <w:color w:val="auto"/>
        </w:rPr>
        <w:t xml:space="preserve">uayene ve </w:t>
      </w:r>
      <w:r w:rsidR="00A86461" w:rsidRPr="00A01EEF">
        <w:rPr>
          <w:bCs/>
          <w:color w:val="auto"/>
        </w:rPr>
        <w:t>K</w:t>
      </w:r>
      <w:r w:rsidR="0091733E" w:rsidRPr="00A01EEF">
        <w:rPr>
          <w:bCs/>
          <w:color w:val="auto"/>
        </w:rPr>
        <w:t xml:space="preserve">abul </w:t>
      </w:r>
      <w:r w:rsidR="00A86461" w:rsidRPr="00A01EEF">
        <w:rPr>
          <w:bCs/>
          <w:color w:val="auto"/>
        </w:rPr>
        <w:t>T</w:t>
      </w:r>
      <w:r w:rsidR="0091733E" w:rsidRPr="00A01EEF">
        <w:rPr>
          <w:bCs/>
          <w:color w:val="auto"/>
        </w:rPr>
        <w:t xml:space="preserve">eslim </w:t>
      </w:r>
      <w:r w:rsidR="00A86461" w:rsidRPr="00A01EEF">
        <w:rPr>
          <w:bCs/>
          <w:color w:val="auto"/>
        </w:rPr>
        <w:t>T</w:t>
      </w:r>
      <w:r w:rsidR="0091733E" w:rsidRPr="00A01EE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w:t>
      </w:r>
      <w:r w:rsidR="002F14C0" w:rsidRPr="00A01EEF">
        <w:rPr>
          <w:bCs/>
          <w:color w:val="auto"/>
        </w:rPr>
        <w:t>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xml:space="preserve">/ </w:t>
      </w:r>
      <w:r w:rsidR="002F14C0" w:rsidRPr="00A01EEF">
        <w:rPr>
          <w:bCs/>
          <w:color w:val="auto"/>
        </w:rPr>
        <w:t>Muayene ve Kabul Teslim Tutanağı</w:t>
      </w:r>
      <w:r w:rsidR="002F14C0" w:rsidRPr="00D7524F">
        <w:rPr>
          <w:bCs/>
          <w:color w:val="auto"/>
        </w:rPr>
        <w:t>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w:t>
      </w:r>
      <w:r w:rsidRPr="00D7524F">
        <w:rPr>
          <w:bCs/>
          <w:color w:val="auto"/>
        </w:rPr>
        <w:lastRenderedPageBreak/>
        <w:t>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w:t>
      </w:r>
      <w:r w:rsidRPr="00D7524F">
        <w:rPr>
          <w:bCs/>
          <w:color w:val="auto"/>
        </w:rPr>
        <w:lastRenderedPageBreak/>
        <w:t>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A01EE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A01EE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A01EE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w:t>
      </w:r>
      <w:r w:rsidRPr="00D7524F">
        <w:rPr>
          <w:bCs/>
          <w:color w:val="auto"/>
        </w:rPr>
        <w:lastRenderedPageBreak/>
        <w:t xml:space="preserve">İtiraz muayenesi için düzenlenen </w:t>
      </w:r>
      <w:r w:rsidR="00A86461" w:rsidRPr="00A01EEF">
        <w:rPr>
          <w:bCs/>
          <w:color w:val="auto"/>
        </w:rPr>
        <w:t>Muayene ve Kabul Teslim Tutanağı</w:t>
      </w:r>
      <w:r w:rsidR="00A86461" w:rsidRPr="00D7524F">
        <w:rPr>
          <w:bCs/>
          <w:color w:val="auto"/>
        </w:rPr>
        <w:t xml:space="preserve">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A01EEF">
        <w:rPr>
          <w:bCs/>
          <w:color w:val="auto"/>
        </w:rPr>
        <w:t>Muayene ve Kabul Teslim Tutanağı</w:t>
      </w:r>
      <w:r w:rsidR="00A86461" w:rsidRPr="00D7524F">
        <w:rPr>
          <w:bCs/>
          <w:color w:val="auto"/>
        </w:rPr>
        <w:t xml:space="preserve">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A01EEF">
        <w:rPr>
          <w:bCs/>
          <w:color w:val="auto"/>
        </w:rPr>
        <w:t>Muayene ve Kabul Teslim Tutanağı</w:t>
      </w:r>
      <w:r w:rsidR="00A86461" w:rsidRPr="00D7524F">
        <w:rPr>
          <w:bCs/>
          <w:color w:val="auto"/>
        </w:rPr>
        <w:t xml:space="preserve">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A01EE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A01EE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w:t>
      </w:r>
      <w:r w:rsidRPr="00D7524F">
        <w:rPr>
          <w:bCs/>
          <w:color w:val="auto"/>
        </w:rPr>
        <w:lastRenderedPageBreak/>
        <w:t xml:space="preserve">saymanlığı tarafından yükleniciye, muayene sonucunun tebliği yapılır. Mal niteliklerine uygun bulunmamış ise, tebligat ile birlikte </w:t>
      </w:r>
      <w:r w:rsidR="00A86461" w:rsidRPr="00A01EEF">
        <w:rPr>
          <w:bCs/>
          <w:color w:val="auto"/>
        </w:rPr>
        <w:t>Muayene ve Kabul Teslim Tutanağı</w:t>
      </w:r>
      <w:r w:rsidR="00A86461" w:rsidRPr="00D7524F">
        <w:rPr>
          <w:bCs/>
          <w:color w:val="auto"/>
        </w:rPr>
        <w:t xml:space="preserve">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w:t>
      </w:r>
      <w:r w:rsidR="00363BF4">
        <w:rPr>
          <w:bCs/>
          <w:color w:val="auto"/>
        </w:rPr>
        <w:t xml:space="preserve">‰ </w:t>
      </w:r>
      <w:r w:rsidRPr="00D7524F">
        <w:rPr>
          <w:bCs/>
          <w:color w:val="auto"/>
        </w:rPr>
        <w:t xml:space="preserve">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w:t>
      </w:r>
      <w:r w:rsidRPr="00D7524F">
        <w:rPr>
          <w:bCs/>
          <w:color w:val="auto"/>
        </w:rPr>
        <w:lastRenderedPageBreak/>
        <w:t xml:space="preserve">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A01EEF">
        <w:rPr>
          <w:bCs/>
          <w:color w:val="auto"/>
        </w:rPr>
        <w:t>Muayene ve Kabul Teslim Tutanağı</w:t>
      </w:r>
      <w:r w:rsidR="00A86461" w:rsidRPr="00D7524F">
        <w:rPr>
          <w:bCs/>
          <w:color w:val="auto"/>
        </w:rPr>
        <w:t xml:space="preserve">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65401A" w:rsidRDefault="00B16E7C" w:rsidP="00C24934">
      <w:pPr>
        <w:tabs>
          <w:tab w:val="left" w:pos="851"/>
          <w:tab w:val="left" w:pos="1418"/>
          <w:tab w:val="left" w:pos="1701"/>
          <w:tab w:val="center" w:pos="4536"/>
        </w:tabs>
        <w:jc w:val="both"/>
        <w:rPr>
          <w:bCs/>
          <w:color w:val="0070C0"/>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0065401A" w:rsidRPr="0065401A">
        <w:rPr>
          <w:bCs/>
          <w:color w:val="auto"/>
        </w:rPr>
        <w:t xml:space="preserve">Kısmi kabul yapıldığında kısmi kabulü yapılan kısım/kısımların bedeli ödenir. </w:t>
      </w:r>
      <w:r w:rsidR="0065401A" w:rsidRPr="0065401A">
        <w:rPr>
          <w:bCs/>
          <w:color w:val="0070C0"/>
        </w:rPr>
        <w:t>Kabul</w:t>
      </w:r>
      <w:r w:rsidR="0065401A">
        <w:rPr>
          <w:bCs/>
          <w:color w:val="0070C0"/>
        </w:rPr>
        <w:t xml:space="preserve"> </w:t>
      </w:r>
      <w:r w:rsidR="0065401A" w:rsidRPr="0065401A">
        <w:rPr>
          <w:bCs/>
          <w:color w:val="0070C0"/>
        </w:rPr>
        <w:t xml:space="preserve"> edilmeyen kısım/kısımlar için sözleşmenin feshedilmesi gerektiğinde Yüklenicinin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D7524F" w:rsidRPr="0065401A"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E1140E" w:rsidRPr="0065401A" w:rsidRDefault="00B16E7C" w:rsidP="00C24934">
      <w:pPr>
        <w:jc w:val="both"/>
        <w:rPr>
          <w:color w:val="auto"/>
        </w:rPr>
      </w:pPr>
      <w:r w:rsidRPr="00D7524F">
        <w:rPr>
          <w:b/>
          <w:bCs/>
          <w:color w:val="auto"/>
        </w:rPr>
        <w:t>31.4.</w:t>
      </w:r>
      <w:r w:rsidRPr="00D7524F">
        <w:rPr>
          <w:color w:val="auto"/>
        </w:rPr>
        <w:t xml:space="preserve"> Bu madde boş bırakılmıştır. </w:t>
      </w:r>
    </w:p>
    <w:p w:rsidR="00006D9E" w:rsidRDefault="00006D9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lastRenderedPageBreak/>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65401A"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2934B7">
        <w:rPr>
          <w:rFonts w:ascii="Times New Roman" w:hAnsi="Times New Roman" w:cs="Times New Roman"/>
          <w:color w:val="0070C0"/>
          <w:sz w:val="24"/>
          <w:szCs w:val="24"/>
          <w:lang w:val="tr-TR"/>
        </w:rPr>
        <w:t xml:space="preserve">kısım/kısımların bedelinin ‰ </w:t>
      </w:r>
      <w:r>
        <w:rPr>
          <w:rFonts w:ascii="Times New Roman" w:hAnsi="Times New Roman" w:cs="Times New Roman"/>
          <w:color w:val="0070C0"/>
          <w:sz w:val="24"/>
          <w:szCs w:val="24"/>
          <w:lang w:val="tr-TR"/>
        </w:rPr>
        <w:t>2  (bindeiki</w:t>
      </w:r>
      <w:r w:rsidRPr="00E91AC6">
        <w:rPr>
          <w:rFonts w:ascii="Times New Roman" w:hAnsi="Times New Roman" w:cs="Times New Roman"/>
          <w:color w:val="0070C0"/>
          <w:sz w:val="24"/>
          <w:szCs w:val="24"/>
          <w:lang w:val="tr-TR"/>
        </w:rPr>
        <w:t>)’i oranında gecikme cezası uygulanır.</w:t>
      </w:r>
    </w:p>
    <w:p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425540">
        <w:rPr>
          <w:color w:val="0070C0"/>
        </w:rPr>
        <w:t xml:space="preserve">kesin teminat ve varsa ek kesin teminatların tamamı </w:t>
      </w:r>
      <w:r w:rsidRPr="00D7524F">
        <w:rPr>
          <w:color w:val="auto"/>
        </w:rPr>
        <w:t>gelir kaydedilir ve sözleşme feshedilerek hesabı genel hükümlere göre tasfiye edilir.</w:t>
      </w:r>
    </w:p>
    <w:p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rsidR="0065401A" w:rsidRDefault="0065401A" w:rsidP="0065401A">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lastRenderedPageBreak/>
        <w:t>Sözleşme yapıldıktan sonra YÜKLENİCİ taahhüdünden vazgeçer veya taahhüdünü sözleşme</w:t>
      </w:r>
      <w:r>
        <w:rPr>
          <w:rFonts w:eastAsia="Times New Roman"/>
          <w:color w:val="auto"/>
          <w:szCs w:val="22"/>
        </w:rPr>
        <w:t xml:space="preserve"> </w:t>
      </w:r>
      <w:r w:rsidRPr="00E1140E">
        <w:rPr>
          <w:rFonts w:eastAsia="Times New Roman"/>
          <w:color w:val="auto"/>
          <w:szCs w:val="22"/>
        </w:rPr>
        <w:t xml:space="preserv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w:t>
      </w:r>
      <w:r w:rsidRPr="00425540">
        <w:rPr>
          <w:rFonts w:eastAsia="Times New Roman"/>
          <w:color w:val="0070C0"/>
          <w:szCs w:val="22"/>
        </w:rPr>
        <w:t>ilgili kısım/kıs</w:t>
      </w:r>
      <w:r>
        <w:rPr>
          <w:rFonts w:eastAsia="Times New Roman"/>
          <w:color w:val="0070C0"/>
          <w:szCs w:val="22"/>
        </w:rPr>
        <w:t>ı</w:t>
      </w:r>
      <w:r w:rsidRPr="00425540">
        <w:rPr>
          <w:rFonts w:eastAsia="Times New Roman"/>
          <w:color w:val="0070C0"/>
          <w:szCs w:val="22"/>
        </w:rPr>
        <w:t>mlara ait kesin teminat ve varsa ek kesin teminatları hesaplanarak</w:t>
      </w:r>
      <w:r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E1140E">
        <w:rPr>
          <w:color w:val="auto"/>
        </w:rPr>
        <w:t xml:space="preserve"> </w:t>
      </w:r>
    </w:p>
    <w:p w:rsidR="0065401A" w:rsidRPr="00325EEF" w:rsidRDefault="0065401A" w:rsidP="0065401A">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t xml:space="preserve"> Sözleşmenin uygulanması sırasında Yüklenicinin 4735 sayılı Kanunun 25 inci maddesinde sayılan yasak fiil veya davranışlarda bulunduğunun tespit edilmesi, hallerinde, ayrıca protesto çekmeye gerek kalmaksızın </w:t>
      </w:r>
      <w:r w:rsidRPr="00425540">
        <w:rPr>
          <w:color w:val="0070C0"/>
        </w:rPr>
        <w:t>kesin teminat ve varsa ek kesin teminatların tamamı</w:t>
      </w:r>
      <w:r w:rsidRPr="00425540">
        <w:rPr>
          <w:color w:val="FF0000"/>
        </w:rPr>
        <w:t xml:space="preserve"> </w:t>
      </w:r>
      <w:r w:rsidRPr="00E1140E">
        <w:rPr>
          <w:color w:val="auto"/>
        </w:rPr>
        <w:t>gelir kaydedilir ve sözleşme feshedilerek hesabı genel hükümlere göre tasfiye edilir.</w:t>
      </w: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w:t>
      </w:r>
      <w:r w:rsidRPr="00D7524F">
        <w:rPr>
          <w:color w:val="auto"/>
        </w:rPr>
        <w:lastRenderedPageBreak/>
        <w:t xml:space="preserve">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24934">
      <w:pPr>
        <w:jc w:val="both"/>
        <w:rPr>
          <w:b/>
          <w:bCs/>
          <w:color w:val="auto"/>
        </w:rPr>
      </w:pPr>
    </w:p>
    <w:p w:rsidR="00665499" w:rsidRDefault="00665499"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C24934">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C24934">
      <w:pPr>
        <w:tabs>
          <w:tab w:val="left" w:pos="567"/>
          <w:tab w:val="left" w:pos="709"/>
          <w:tab w:val="left" w:pos="993"/>
        </w:tabs>
        <w:overflowPunct/>
        <w:autoSpaceDE/>
        <w:jc w:val="both"/>
        <w:rPr>
          <w:rFonts w:eastAsia="Times New Roman"/>
          <w:b/>
          <w:bCs/>
          <w:color w:val="auto"/>
        </w:rPr>
      </w:pPr>
    </w:p>
    <w:p w:rsidR="00665499" w:rsidRPr="00665499" w:rsidRDefault="00B16E7C" w:rsidP="00665499">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Pr="00E1140E" w:rsidRDefault="00B16E7C" w:rsidP="00C24934">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B16E7C" w:rsidP="00C24934">
      <w:pPr>
        <w:overflowPunct/>
        <w:autoSpaceDE/>
        <w:jc w:val="both"/>
        <w:rPr>
          <w:rFonts w:eastAsia="Times New Roman"/>
          <w:bCs/>
          <w:color w:val="auto"/>
        </w:rPr>
      </w:pPr>
      <w:r w:rsidRPr="00D7524F">
        <w:rPr>
          <w:rFonts w:eastAsia="Times New Roman"/>
          <w:b/>
          <w:color w:val="auto"/>
        </w:rPr>
        <w:t xml:space="preserve">44.5. </w:t>
      </w:r>
      <w:r w:rsidR="007C4531" w:rsidRPr="00E1140E">
        <w:rPr>
          <w:rFonts w:eastAsia="Times New Roman"/>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B16E7C" w:rsidP="00665499">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B16E7C" w:rsidP="00C24934">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C24934">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C24934">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C24934">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C24934">
      <w:pPr>
        <w:jc w:val="both"/>
        <w:rPr>
          <w:rFonts w:eastAsia="Times New Roman"/>
          <w:bCs/>
          <w:color w:val="auto"/>
        </w:rPr>
      </w:pPr>
      <w:r w:rsidRPr="00D7524F">
        <w:rPr>
          <w:rFonts w:eastAsia="Times New Roman"/>
          <w:b/>
          <w:bCs/>
          <w:color w:val="auto"/>
        </w:rPr>
        <w:lastRenderedPageBreak/>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C24934">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257F45" w:rsidP="00C24934">
      <w:pPr>
        <w:pStyle w:val="GvdeMetni3"/>
        <w:spacing w:after="0"/>
        <w:jc w:val="both"/>
        <w:rPr>
          <w:iCs/>
          <w:color w:val="auto"/>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Sözleşme ile ilgili yapılacak bütün işlemlerden 45’inci Bkm.Fb.Md.’lüğü Mlz.Ynt.Mrk.    A.’liği Ted.Ks.A.’liğine bilgi verilecektir.</w:t>
      </w:r>
    </w:p>
    <w:p w:rsidR="00CD63FB" w:rsidRPr="00D7524F" w:rsidRDefault="00257F45" w:rsidP="00C24934">
      <w:pPr>
        <w:pStyle w:val="GvdeMetni3"/>
        <w:spacing w:after="0"/>
        <w:jc w:val="both"/>
        <w:rPr>
          <w:iCs/>
          <w:color w:val="auto"/>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rsidR="00CD63FB" w:rsidRPr="00D7524F" w:rsidRDefault="00257F45" w:rsidP="00C24934">
      <w:pPr>
        <w:pStyle w:val="GvdeMetni3"/>
        <w:spacing w:after="0"/>
        <w:jc w:val="both"/>
        <w:rPr>
          <w:color w:val="auto"/>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257F45"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257F45"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257F45"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D7524F">
        <w:rPr>
          <w:iCs/>
          <w:color w:val="auto"/>
          <w:sz w:val="24"/>
          <w:szCs w:val="22"/>
        </w:rPr>
        <w:t xml:space="preserve">Sözleşmede yer alması durumunda; yüklenicinin usulüne uygun olarak talepte bulunması halinde avans işlemlerini yapmak. </w:t>
      </w:r>
    </w:p>
    <w:p w:rsidR="00D7524F" w:rsidRPr="00665499" w:rsidRDefault="00257F45" w:rsidP="00665499">
      <w:pPr>
        <w:pStyle w:val="GvdeMetni3"/>
        <w:jc w:val="both"/>
        <w:rPr>
          <w:iCs/>
          <w:color w:val="auto"/>
          <w:sz w:val="24"/>
          <w:szCs w:val="22"/>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D7524F">
        <w:rPr>
          <w:iCs/>
          <w:color w:val="auto"/>
          <w:sz w:val="24"/>
          <w:szCs w:val="22"/>
        </w:rPr>
        <w:t xml:space="preserve">Borçlar Kanunun 108 nci maddesi gereğince taahhüdün yerine getirilmemesi durumunda tazminat davası açmak. </w:t>
      </w:r>
      <w:r w:rsidR="00CD63FB"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12133D" w:rsidRDefault="0012133D" w:rsidP="0012133D">
      <w:pPr>
        <w:overflowPunct/>
        <w:autoSpaceDE/>
        <w:spacing w:after="120"/>
        <w:jc w:val="both"/>
        <w:rPr>
          <w:rFonts w:eastAsia="Times New Roman"/>
          <w:color w:val="auto"/>
        </w:rPr>
      </w:pPr>
    </w:p>
    <w:p w:rsidR="00257F45" w:rsidRPr="00CF3745" w:rsidRDefault="00257F45" w:rsidP="0012133D">
      <w:pPr>
        <w:overflowPunct/>
        <w:autoSpaceDE/>
        <w:spacing w:after="120"/>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12133D">
        <w:rPr>
          <w:rFonts w:eastAsia="Times New Roman"/>
          <w:color w:val="auto"/>
        </w:rPr>
        <w:tab/>
      </w:r>
      <w:r w:rsidR="0012133D">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sectPr w:rsidR="00257F45" w:rsidRPr="00CF3745"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B0" w:rsidRDefault="00760EB0" w:rsidP="00D67065">
      <w:r>
        <w:separator/>
      </w:r>
    </w:p>
  </w:endnote>
  <w:endnote w:type="continuationSeparator" w:id="0">
    <w:p w:rsidR="00760EB0" w:rsidRDefault="00760EB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760EB0" w:rsidRPr="00EF6F97" w:rsidRDefault="00760EB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2133D">
          <w:rPr>
            <w:b w:val="0"/>
            <w:noProof/>
            <w:sz w:val="22"/>
          </w:rPr>
          <w:t>1</w:t>
        </w:r>
        <w:r w:rsidRPr="00EF6F97">
          <w:rPr>
            <w:b w:val="0"/>
            <w:sz w:val="22"/>
          </w:rPr>
          <w:fldChar w:fldCharType="end"/>
        </w:r>
      </w:p>
    </w:sdtContent>
  </w:sdt>
  <w:p w:rsidR="00760EB0" w:rsidRDefault="00760E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B0" w:rsidRDefault="00760EB0" w:rsidP="00D67065">
      <w:r>
        <w:separator/>
      </w:r>
    </w:p>
  </w:footnote>
  <w:footnote w:type="continuationSeparator" w:id="0">
    <w:p w:rsidR="00760EB0" w:rsidRDefault="00760EB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B0" w:rsidRPr="00EF6F97" w:rsidRDefault="00760EB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C80"/>
    <w:rsid w:val="000365EB"/>
    <w:rsid w:val="00052A5A"/>
    <w:rsid w:val="000536DE"/>
    <w:rsid w:val="00064ABD"/>
    <w:rsid w:val="00084DA8"/>
    <w:rsid w:val="00090435"/>
    <w:rsid w:val="000A2C3C"/>
    <w:rsid w:val="000B3FEB"/>
    <w:rsid w:val="000B5075"/>
    <w:rsid w:val="000C1279"/>
    <w:rsid w:val="000D2CC6"/>
    <w:rsid w:val="000F17B8"/>
    <w:rsid w:val="000F4CA2"/>
    <w:rsid w:val="001002CB"/>
    <w:rsid w:val="00101B02"/>
    <w:rsid w:val="00103C12"/>
    <w:rsid w:val="00111439"/>
    <w:rsid w:val="0012133D"/>
    <w:rsid w:val="00153D89"/>
    <w:rsid w:val="0016384F"/>
    <w:rsid w:val="001A3F10"/>
    <w:rsid w:val="001B017C"/>
    <w:rsid w:val="001D098C"/>
    <w:rsid w:val="001D5722"/>
    <w:rsid w:val="001D70A9"/>
    <w:rsid w:val="00207180"/>
    <w:rsid w:val="0021060C"/>
    <w:rsid w:val="00257F45"/>
    <w:rsid w:val="002649C1"/>
    <w:rsid w:val="00271FFF"/>
    <w:rsid w:val="00280E7A"/>
    <w:rsid w:val="00281F8D"/>
    <w:rsid w:val="002934B7"/>
    <w:rsid w:val="00293A82"/>
    <w:rsid w:val="002F14C0"/>
    <w:rsid w:val="0031581D"/>
    <w:rsid w:val="00334BEF"/>
    <w:rsid w:val="00344D58"/>
    <w:rsid w:val="00350BAD"/>
    <w:rsid w:val="00363BF4"/>
    <w:rsid w:val="00371600"/>
    <w:rsid w:val="003B4BDA"/>
    <w:rsid w:val="003C4AFF"/>
    <w:rsid w:val="00434DEF"/>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50446"/>
    <w:rsid w:val="0065401A"/>
    <w:rsid w:val="00665499"/>
    <w:rsid w:val="006854BB"/>
    <w:rsid w:val="00685C3F"/>
    <w:rsid w:val="006B6858"/>
    <w:rsid w:val="006E578B"/>
    <w:rsid w:val="006F2894"/>
    <w:rsid w:val="00734ABE"/>
    <w:rsid w:val="00756A41"/>
    <w:rsid w:val="007606E0"/>
    <w:rsid w:val="00760EB0"/>
    <w:rsid w:val="00761554"/>
    <w:rsid w:val="007A21AF"/>
    <w:rsid w:val="007B0E4E"/>
    <w:rsid w:val="007C4531"/>
    <w:rsid w:val="007D1EE9"/>
    <w:rsid w:val="007D7A22"/>
    <w:rsid w:val="007E0633"/>
    <w:rsid w:val="00800C8C"/>
    <w:rsid w:val="00802B28"/>
    <w:rsid w:val="00824C4C"/>
    <w:rsid w:val="008A289C"/>
    <w:rsid w:val="008C1034"/>
    <w:rsid w:val="008C323F"/>
    <w:rsid w:val="008C55F8"/>
    <w:rsid w:val="008F03BA"/>
    <w:rsid w:val="0091569B"/>
    <w:rsid w:val="00915728"/>
    <w:rsid w:val="009158CD"/>
    <w:rsid w:val="00916FA8"/>
    <w:rsid w:val="0091733E"/>
    <w:rsid w:val="009510F7"/>
    <w:rsid w:val="009C0FAA"/>
    <w:rsid w:val="009E226B"/>
    <w:rsid w:val="00A011D1"/>
    <w:rsid w:val="00A01B97"/>
    <w:rsid w:val="00A01EEF"/>
    <w:rsid w:val="00A17F7A"/>
    <w:rsid w:val="00A25392"/>
    <w:rsid w:val="00A60134"/>
    <w:rsid w:val="00A65923"/>
    <w:rsid w:val="00A86461"/>
    <w:rsid w:val="00AB306E"/>
    <w:rsid w:val="00AB4B04"/>
    <w:rsid w:val="00AB6D42"/>
    <w:rsid w:val="00AC0EDB"/>
    <w:rsid w:val="00AC24EC"/>
    <w:rsid w:val="00AC3B56"/>
    <w:rsid w:val="00B07B98"/>
    <w:rsid w:val="00B16E7C"/>
    <w:rsid w:val="00B34455"/>
    <w:rsid w:val="00B5703F"/>
    <w:rsid w:val="00B623BA"/>
    <w:rsid w:val="00B63286"/>
    <w:rsid w:val="00B83AFC"/>
    <w:rsid w:val="00B8656F"/>
    <w:rsid w:val="00BC55C0"/>
    <w:rsid w:val="00BE06B1"/>
    <w:rsid w:val="00BE44AB"/>
    <w:rsid w:val="00BF5CB6"/>
    <w:rsid w:val="00C04A01"/>
    <w:rsid w:val="00C0622E"/>
    <w:rsid w:val="00C24934"/>
    <w:rsid w:val="00C377D6"/>
    <w:rsid w:val="00C42C74"/>
    <w:rsid w:val="00C57D3F"/>
    <w:rsid w:val="00C643DA"/>
    <w:rsid w:val="00C70454"/>
    <w:rsid w:val="00C81C1E"/>
    <w:rsid w:val="00CB1BAE"/>
    <w:rsid w:val="00CB5278"/>
    <w:rsid w:val="00CB63AC"/>
    <w:rsid w:val="00CC0DE6"/>
    <w:rsid w:val="00CC12E0"/>
    <w:rsid w:val="00CD63FB"/>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140E"/>
    <w:rsid w:val="00E129E1"/>
    <w:rsid w:val="00E13EAE"/>
    <w:rsid w:val="00E3048C"/>
    <w:rsid w:val="00E470A2"/>
    <w:rsid w:val="00E505A9"/>
    <w:rsid w:val="00E82DA4"/>
    <w:rsid w:val="00EC3E7D"/>
    <w:rsid w:val="00ED53B5"/>
    <w:rsid w:val="00ED6F62"/>
    <w:rsid w:val="00EE7193"/>
    <w:rsid w:val="00EF27E5"/>
    <w:rsid w:val="00EF6F97"/>
    <w:rsid w:val="00F14870"/>
    <w:rsid w:val="00F27355"/>
    <w:rsid w:val="00F35D9D"/>
    <w:rsid w:val="00F45AC8"/>
    <w:rsid w:val="00F655F1"/>
    <w:rsid w:val="00F81FB9"/>
    <w:rsid w:val="00FA305F"/>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F777"/>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DFB7E-834A-405C-8DCE-F6953AFC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30</Pages>
  <Words>16179</Words>
  <Characters>92223</Characters>
  <Application>Microsoft Office Word</Application>
  <DocSecurity>0</DocSecurity>
  <Lines>768</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7</cp:revision>
  <cp:lastPrinted>2024-07-18T08:07:00Z</cp:lastPrinted>
  <dcterms:created xsi:type="dcterms:W3CDTF">2021-11-03T13:45:00Z</dcterms:created>
  <dcterms:modified xsi:type="dcterms:W3CDTF">2024-07-29T04:28:00Z</dcterms:modified>
</cp:coreProperties>
</file>