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A0E8D" w:rsidRDefault="007731F1">
      <w:pPr>
        <w:pStyle w:val="Balk4"/>
        <w:rPr>
          <w:rFonts w:eastAsia="Times New Roman"/>
          <w:bCs w:val="0"/>
          <w:color w:val="auto"/>
          <w:sz w:val="24"/>
          <w:szCs w:val="24"/>
        </w:rPr>
      </w:pPr>
      <w:bookmarkStart w:id="0" w:name="_GoBack"/>
      <w:bookmarkEnd w:id="0"/>
      <w:r w:rsidRPr="002A0E8D">
        <w:rPr>
          <w:rFonts w:eastAsia="Times New Roman"/>
          <w:sz w:val="24"/>
          <w:szCs w:val="24"/>
        </w:rPr>
        <w:t>4734 SAYILI KANUNUN İSTİSNALAR 3.B MADDESİNE GÖRE HAZIRLANAN</w:t>
      </w:r>
      <w:r w:rsidRPr="002A0E8D">
        <w:rPr>
          <w:sz w:val="24"/>
          <w:szCs w:val="24"/>
        </w:rPr>
        <w:t xml:space="preserve"> </w:t>
      </w:r>
      <w:r w:rsidR="001F68BB" w:rsidRPr="002A0E8D">
        <w:rPr>
          <w:color w:val="FF0000"/>
          <w:sz w:val="24"/>
          <w:szCs w:val="24"/>
        </w:rPr>
        <w:t xml:space="preserve">DOĞRUDAN TEMİN </w:t>
      </w:r>
      <w:r w:rsidR="0069415B">
        <w:rPr>
          <w:color w:val="FF0000"/>
          <w:sz w:val="24"/>
          <w:szCs w:val="24"/>
        </w:rPr>
        <w:t>LANDROVER</w:t>
      </w:r>
      <w:r w:rsidR="00254776">
        <w:rPr>
          <w:color w:val="FF0000"/>
          <w:sz w:val="24"/>
          <w:szCs w:val="24"/>
        </w:rPr>
        <w:t xml:space="preserve"> ARAÇLARINA</w:t>
      </w:r>
      <w:r w:rsidR="003F4306">
        <w:rPr>
          <w:color w:val="FF0000"/>
          <w:sz w:val="24"/>
          <w:szCs w:val="24"/>
        </w:rPr>
        <w:t xml:space="preserve"> AİT </w:t>
      </w:r>
      <w:r w:rsidR="0069415B">
        <w:rPr>
          <w:color w:val="FF0000"/>
          <w:sz w:val="24"/>
          <w:szCs w:val="24"/>
        </w:rPr>
        <w:t>3</w:t>
      </w:r>
      <w:r w:rsidR="002A0E8D" w:rsidRPr="002A0E8D">
        <w:rPr>
          <w:color w:val="FF0000"/>
          <w:sz w:val="24"/>
          <w:szCs w:val="24"/>
        </w:rPr>
        <w:t xml:space="preserve"> KISIM </w:t>
      </w:r>
      <w:r w:rsidR="0069415B">
        <w:rPr>
          <w:color w:val="FF0000"/>
          <w:sz w:val="24"/>
          <w:szCs w:val="24"/>
        </w:rPr>
        <w:t>32</w:t>
      </w:r>
      <w:r w:rsidR="002A0E8D" w:rsidRPr="002A0E8D">
        <w:rPr>
          <w:color w:val="FF0000"/>
          <w:sz w:val="24"/>
          <w:szCs w:val="24"/>
        </w:rPr>
        <w:t xml:space="preserve"> KALEM YEDEK PARÇA MALZEME</w:t>
      </w:r>
      <w:r w:rsidR="002A0E8D" w:rsidRPr="002A0E8D">
        <w:rPr>
          <w:b w:val="0"/>
          <w:sz w:val="24"/>
          <w:szCs w:val="24"/>
        </w:rPr>
        <w:t xml:space="preserve"> </w:t>
      </w:r>
      <w:r w:rsidR="00EF633B" w:rsidRPr="002A0E8D">
        <w:rPr>
          <w:color w:val="FF0000"/>
          <w:sz w:val="24"/>
          <w:szCs w:val="24"/>
        </w:rPr>
        <w:t xml:space="preserve">MAL ALIMI </w:t>
      </w:r>
      <w:r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3F4306" w:rsidRPr="00621907" w:rsidRDefault="003F4306" w:rsidP="00304602">
      <w:pPr>
        <w:overflowPunct/>
        <w:adjustRightInd w:val="0"/>
        <w:spacing w:line="360" w:lineRule="auto"/>
        <w:rPr>
          <w:rFonts w:eastAsia="Times New Roman"/>
          <w:b/>
          <w:bCs/>
          <w:sz w:val="22"/>
          <w:szCs w:val="22"/>
        </w:rPr>
      </w:pPr>
    </w:p>
    <w:p w:rsidR="003F4306" w:rsidRDefault="0069415B">
      <w:pPr>
        <w:pStyle w:val="GvdeMetni"/>
        <w:spacing w:after="120" w:line="240" w:lineRule="auto"/>
        <w:jc w:val="center"/>
        <w:rPr>
          <w:rFonts w:ascii="Times New Roman" w:hAnsi="Times New Roman" w:cs="Times New Roman"/>
          <w:color w:val="FF0000"/>
          <w:sz w:val="22"/>
          <w:szCs w:val="22"/>
        </w:rPr>
      </w:pPr>
      <w:r w:rsidRPr="0069415B">
        <w:rPr>
          <w:rFonts w:ascii="Times New Roman" w:hAnsi="Times New Roman" w:cs="Times New Roman"/>
          <w:color w:val="FF0000"/>
          <w:sz w:val="22"/>
          <w:szCs w:val="22"/>
        </w:rPr>
        <w:lastRenderedPageBreak/>
        <w:t xml:space="preserve">LANDROVER ARAÇLARINA AİT 3 KISIM 32 KALEM </w:t>
      </w:r>
      <w:r w:rsidR="004D5A07" w:rsidRPr="00621907">
        <w:rPr>
          <w:rFonts w:ascii="Times New Roman" w:hAnsi="Times New Roman" w:cs="Times New Roman"/>
          <w:color w:val="FF0000"/>
          <w:sz w:val="22"/>
          <w:szCs w:val="22"/>
        </w:rPr>
        <w:t>YEDEK PARÇA</w:t>
      </w:r>
      <w:r w:rsidR="003F4306">
        <w:rPr>
          <w:rFonts w:ascii="Times New Roman" w:hAnsi="Times New Roman" w:cs="Times New Roman"/>
          <w:color w:val="FF0000"/>
          <w:sz w:val="22"/>
          <w:szCs w:val="22"/>
        </w:rPr>
        <w:t xml:space="preserve"> </w:t>
      </w:r>
    </w:p>
    <w:p w:rsidR="007731F1" w:rsidRDefault="003F4306">
      <w:pPr>
        <w:pStyle w:val="GvdeMetni"/>
        <w:spacing w:after="120" w:line="240" w:lineRule="auto"/>
        <w:jc w:val="center"/>
        <w:rPr>
          <w:rFonts w:ascii="Times New Roman" w:hAnsi="Times New Roman" w:cs="Times New Roman"/>
          <w:color w:val="auto"/>
          <w:sz w:val="22"/>
          <w:szCs w:val="22"/>
        </w:rPr>
      </w:pPr>
      <w:r>
        <w:rPr>
          <w:rFonts w:ascii="Times New Roman" w:hAnsi="Times New Roman" w:cs="Times New Roman"/>
          <w:color w:val="FF0000"/>
          <w:sz w:val="22"/>
          <w:szCs w:val="22"/>
        </w:rPr>
        <w:t xml:space="preserve">MALZEME </w:t>
      </w:r>
      <w:r w:rsidR="00125FB0" w:rsidRPr="00621907">
        <w:rPr>
          <w:rFonts w:ascii="Times New Roman" w:hAnsi="Times New Roman" w:cs="Times New Roman"/>
          <w:color w:val="FF0000"/>
          <w:sz w:val="22"/>
          <w:szCs w:val="22"/>
        </w:rPr>
        <w:t>MAL ALIMI</w:t>
      </w:r>
      <w:r w:rsidR="00125FB0" w:rsidRPr="00621907">
        <w:rPr>
          <w:rFonts w:ascii="Times New Roman" w:eastAsia="Times New Roman" w:hAnsi="Times New Roman" w:cs="Times New Roman"/>
          <w:bCs w:val="0"/>
          <w:color w:val="FF0000"/>
          <w:sz w:val="22"/>
          <w:szCs w:val="22"/>
        </w:rPr>
        <w:t xml:space="preserve"> </w:t>
      </w:r>
      <w:r w:rsidR="007731F1" w:rsidRPr="00621907">
        <w:rPr>
          <w:rFonts w:ascii="Times New Roman" w:hAnsi="Times New Roman" w:cs="Times New Roman"/>
          <w:color w:val="auto"/>
          <w:sz w:val="22"/>
          <w:szCs w:val="22"/>
        </w:rPr>
        <w:t>AİT SÖZLEŞME TASARISI</w:t>
      </w:r>
    </w:p>
    <w:p w:rsidR="003F4306" w:rsidRPr="00621907" w:rsidRDefault="003F4306">
      <w:pPr>
        <w:pStyle w:val="GvdeMetni"/>
        <w:spacing w:after="120" w:line="240" w:lineRule="auto"/>
        <w:jc w:val="center"/>
        <w:rPr>
          <w:rFonts w:ascii="Times New Roman" w:hAnsi="Times New Roman" w:cs="Times New Roman"/>
          <w:color w:val="auto"/>
          <w:sz w:val="22"/>
          <w:szCs w:val="22"/>
        </w:rPr>
      </w:pP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201</w:t>
      </w:r>
      <w:r w:rsidR="004D5A07" w:rsidRPr="00621907">
        <w:rPr>
          <w:b/>
          <w:bCs/>
          <w:color w:val="auto"/>
          <w:sz w:val="22"/>
          <w:szCs w:val="22"/>
        </w:rPr>
        <w:t>9</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621907" w:rsidRDefault="007731F1">
      <w:pPr>
        <w:jc w:val="both"/>
        <w:divId w:val="1580821803"/>
        <w:rPr>
          <w:b/>
          <w:color w:val="auto"/>
          <w:sz w:val="22"/>
          <w:szCs w:val="22"/>
        </w:rPr>
      </w:pPr>
      <w:r w:rsidRPr="00621907">
        <w:rPr>
          <w:color w:val="auto"/>
          <w:sz w:val="22"/>
          <w:szCs w:val="22"/>
        </w:rPr>
        <w:t xml:space="preserve">d) Elektronik posta adresi(varsa): </w:t>
      </w:r>
      <w:r w:rsidR="00F97DF7" w:rsidRPr="00621907">
        <w:rPr>
          <w:b/>
          <w:color w:val="auto"/>
          <w:sz w:val="22"/>
          <w:szCs w:val="22"/>
        </w:rPr>
        <w:t>ercument.avci@msb.gov.tr</w:t>
      </w: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Pr="00621907" w:rsidRDefault="007731F1">
      <w:pPr>
        <w:jc w:val="both"/>
        <w:divId w:val="806046775"/>
        <w:rPr>
          <w:color w:val="auto"/>
          <w:sz w:val="22"/>
          <w:szCs w:val="22"/>
        </w:rPr>
      </w:pPr>
      <w:r w:rsidRPr="00621907">
        <w:rPr>
          <w:color w:val="auto"/>
          <w:sz w:val="22"/>
          <w:szCs w:val="22"/>
        </w:rPr>
        <w:t xml:space="preserve">f) Bildirime esas elektronik posta adresi (varsa): .................................. </w:t>
      </w: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69415B" w:rsidRPr="0069415B">
        <w:rPr>
          <w:b/>
          <w:color w:val="FF0000"/>
          <w:sz w:val="22"/>
          <w:szCs w:val="22"/>
        </w:rPr>
        <w:t xml:space="preserve">LANDROVER ARAÇLARINA AİT 3 KISIM 32 KALEM </w:t>
      </w:r>
      <w:r w:rsidR="00EF633B" w:rsidRPr="00621907">
        <w:rPr>
          <w:b/>
          <w:color w:val="FF0000"/>
          <w:sz w:val="22"/>
          <w:szCs w:val="22"/>
        </w:rPr>
        <w:t>YEDEK PARÇA</w:t>
      </w:r>
      <w:r w:rsidR="003F4306">
        <w:rPr>
          <w:b/>
          <w:color w:val="FF0000"/>
          <w:sz w:val="22"/>
          <w:szCs w:val="22"/>
        </w:rPr>
        <w:t xml:space="preserve"> MALZEME </w:t>
      </w:r>
      <w:r w:rsidR="00EF633B" w:rsidRPr="00621907">
        <w:rPr>
          <w:b/>
          <w:color w:val="FF0000"/>
          <w:sz w:val="22"/>
          <w:szCs w:val="22"/>
        </w:rPr>
        <w:t>MAL ALIMI</w:t>
      </w:r>
      <w:r w:rsidR="00EF633B" w:rsidRPr="00621907">
        <w:rPr>
          <w:rFonts w:eastAsia="Times New Roman"/>
          <w:color w:val="FF0000"/>
          <w:sz w:val="22"/>
          <w:szCs w:val="22"/>
        </w:rPr>
        <w:t xml:space="preserve">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w:t>
      </w:r>
      <w:r w:rsidR="00CC6F3C">
        <w:rPr>
          <w:rFonts w:eastAsia="Times New Roman"/>
          <w:color w:val="auto"/>
          <w:sz w:val="22"/>
          <w:szCs w:val="22"/>
        </w:rPr>
        <w:t>i numara ile istenmişse (Stok Nu</w:t>
      </w:r>
      <w:r w:rsidRPr="00621907">
        <w:rPr>
          <w:rFonts w:eastAsia="Times New Roman"/>
          <w:color w:val="auto"/>
          <w:sz w:val="22"/>
          <w:szCs w:val="22"/>
        </w:rPr>
        <w:t xml:space="preserve">, </w:t>
      </w:r>
      <w:r w:rsidR="00CC6F3C">
        <w:rPr>
          <w:rFonts w:eastAsia="Times New Roman"/>
          <w:color w:val="auto"/>
          <w:sz w:val="22"/>
          <w:szCs w:val="22"/>
        </w:rPr>
        <w:t>Referans</w:t>
      </w:r>
      <w:r w:rsidRPr="00621907">
        <w:rPr>
          <w:rFonts w:eastAsia="Times New Roman"/>
          <w:color w:val="auto"/>
          <w:sz w:val="22"/>
          <w:szCs w:val="22"/>
        </w:rPr>
        <w:t xml:space="preserve"> N</w:t>
      </w:r>
      <w:r w:rsidR="00CC6F3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2A0E8D"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tbl>
      <w:tblPr>
        <w:tblW w:w="10362" w:type="dxa"/>
        <w:tblInd w:w="55" w:type="dxa"/>
        <w:tblLayout w:type="fixed"/>
        <w:tblCellMar>
          <w:left w:w="70" w:type="dxa"/>
          <w:right w:w="70" w:type="dxa"/>
        </w:tblCellMar>
        <w:tblLook w:val="04A0" w:firstRow="1" w:lastRow="0" w:firstColumn="1" w:lastColumn="0" w:noHBand="0" w:noVBand="1"/>
      </w:tblPr>
      <w:tblGrid>
        <w:gridCol w:w="724"/>
        <w:gridCol w:w="992"/>
        <w:gridCol w:w="851"/>
        <w:gridCol w:w="1701"/>
        <w:gridCol w:w="1701"/>
        <w:gridCol w:w="2551"/>
        <w:gridCol w:w="991"/>
        <w:gridCol w:w="851"/>
      </w:tblGrid>
      <w:tr w:rsidR="0069415B" w:rsidRPr="002A0E8D" w:rsidTr="00254776">
        <w:trPr>
          <w:trHeight w:val="63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415B" w:rsidRDefault="0069415B" w:rsidP="0069415B">
            <w:pPr>
              <w:overflowPunct/>
              <w:autoSpaceDE/>
              <w:autoSpaceDN/>
              <w:jc w:val="center"/>
              <w:rPr>
                <w:rFonts w:eastAsia="Times New Roman"/>
                <w:b/>
                <w:bCs/>
                <w:color w:val="auto"/>
                <w:sz w:val="22"/>
                <w:szCs w:val="22"/>
              </w:rPr>
            </w:pPr>
            <w:r>
              <w:rPr>
                <w:b/>
                <w:bCs/>
                <w:sz w:val="22"/>
                <w:szCs w:val="22"/>
              </w:rPr>
              <w:t>S.NU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9415B" w:rsidRDefault="0069415B" w:rsidP="0069415B">
            <w:pPr>
              <w:jc w:val="center"/>
              <w:rPr>
                <w:b/>
                <w:bCs/>
                <w:sz w:val="22"/>
                <w:szCs w:val="22"/>
              </w:rPr>
            </w:pPr>
            <w:r>
              <w:rPr>
                <w:b/>
                <w:bCs/>
                <w:sz w:val="22"/>
                <w:szCs w:val="22"/>
              </w:rPr>
              <w:t>KISIM NU.</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9415B" w:rsidRDefault="0069415B" w:rsidP="0069415B">
            <w:pPr>
              <w:jc w:val="center"/>
              <w:rPr>
                <w:b/>
                <w:bCs/>
                <w:sz w:val="22"/>
                <w:szCs w:val="22"/>
              </w:rPr>
            </w:pPr>
            <w:r>
              <w:rPr>
                <w:b/>
                <w:bCs/>
                <w:sz w:val="22"/>
                <w:szCs w:val="22"/>
              </w:rPr>
              <w:t>KISIM 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9415B" w:rsidRDefault="0069415B" w:rsidP="0069415B">
            <w:pPr>
              <w:rPr>
                <w:b/>
                <w:bCs/>
                <w:sz w:val="22"/>
                <w:szCs w:val="22"/>
              </w:rPr>
            </w:pPr>
            <w:r>
              <w:rPr>
                <w:b/>
                <w:bCs/>
                <w:sz w:val="22"/>
                <w:szCs w:val="22"/>
              </w:rPr>
              <w:t>STOK 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9415B" w:rsidRDefault="0069415B" w:rsidP="0069415B">
            <w:pPr>
              <w:rPr>
                <w:b/>
                <w:bCs/>
                <w:sz w:val="22"/>
                <w:szCs w:val="22"/>
              </w:rPr>
            </w:pPr>
            <w:r>
              <w:rPr>
                <w:b/>
                <w:bCs/>
                <w:sz w:val="22"/>
                <w:szCs w:val="22"/>
              </w:rPr>
              <w:t>REFERANS NU.</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69415B" w:rsidRDefault="0069415B" w:rsidP="0069415B">
            <w:pPr>
              <w:rPr>
                <w:b/>
                <w:bCs/>
                <w:sz w:val="22"/>
                <w:szCs w:val="22"/>
              </w:rPr>
            </w:pPr>
            <w:r>
              <w:rPr>
                <w:b/>
                <w:bCs/>
                <w:sz w:val="22"/>
                <w:szCs w:val="22"/>
              </w:rPr>
              <w:t>CİNSİ</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69415B" w:rsidRDefault="0069415B" w:rsidP="0069415B">
            <w:pPr>
              <w:jc w:val="center"/>
              <w:rPr>
                <w:b/>
                <w:bCs/>
                <w:sz w:val="22"/>
                <w:szCs w:val="22"/>
              </w:rPr>
            </w:pPr>
            <w:r>
              <w:rPr>
                <w:b/>
                <w:bCs/>
                <w:sz w:val="22"/>
                <w:szCs w:val="22"/>
              </w:rPr>
              <w:t>MİKTARI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9415B" w:rsidRDefault="0069415B" w:rsidP="0069415B">
            <w:pPr>
              <w:jc w:val="center"/>
              <w:rPr>
                <w:b/>
                <w:bCs/>
                <w:color w:val="auto"/>
                <w:sz w:val="22"/>
                <w:szCs w:val="22"/>
              </w:rPr>
            </w:pPr>
            <w:r>
              <w:rPr>
                <w:b/>
                <w:bCs/>
                <w:sz w:val="22"/>
                <w:szCs w:val="22"/>
              </w:rPr>
              <w:t>BİRİMİ</w:t>
            </w:r>
          </w:p>
        </w:tc>
      </w:tr>
      <w:tr w:rsidR="0069415B" w:rsidRPr="002A0E8D" w:rsidTr="00254776">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rPr>
                <w:sz w:val="22"/>
                <w:szCs w:val="22"/>
              </w:rPr>
            </w:pPr>
            <w:r>
              <w:rPr>
                <w:sz w:val="22"/>
                <w:szCs w:val="22"/>
              </w:rPr>
              <w:t>2590999781407</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ERC4996</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TAPA KAPAK - YAN (BLOK)</w:t>
            </w:r>
          </w:p>
        </w:tc>
        <w:tc>
          <w:tcPr>
            <w:tcW w:w="99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5000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69415B">
        <w:trPr>
          <w:trHeight w:val="4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rPr>
                <w:sz w:val="22"/>
                <w:szCs w:val="22"/>
              </w:rPr>
            </w:pPr>
            <w:r>
              <w:rPr>
                <w:sz w:val="22"/>
                <w:szCs w:val="22"/>
              </w:rPr>
              <w:t>2805998100762</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538131</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DAYAMA PULU 0.0025"</w:t>
            </w:r>
          </w:p>
        </w:tc>
        <w:tc>
          <w:tcPr>
            <w:tcW w:w="99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300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TK</w:t>
            </w:r>
          </w:p>
        </w:tc>
      </w:tr>
      <w:tr w:rsidR="0069415B" w:rsidRPr="002A0E8D" w:rsidTr="00254776">
        <w:trPr>
          <w:trHeight w:val="52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lastRenderedPageBreak/>
              <w:t>3</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rPr>
                <w:sz w:val="22"/>
                <w:szCs w:val="22"/>
              </w:rPr>
            </w:pPr>
            <w:r>
              <w:rPr>
                <w:sz w:val="22"/>
                <w:szCs w:val="22"/>
              </w:rPr>
              <w:t>2815270567338</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10121YS1090</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SUBAP, VAKUM POMPASI İÇİN (ŞAPKALI PİSTON)</w:t>
            </w:r>
          </w:p>
        </w:tc>
        <w:tc>
          <w:tcPr>
            <w:tcW w:w="99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1500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254776">
        <w:trPr>
          <w:trHeight w:val="58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4</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rPr>
                <w:sz w:val="22"/>
                <w:szCs w:val="22"/>
              </w:rPr>
            </w:pPr>
            <w:r>
              <w:rPr>
                <w:sz w:val="22"/>
                <w:szCs w:val="22"/>
              </w:rPr>
              <w:t>2815993318608</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ERR6242</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BLOK MOTOR</w:t>
            </w:r>
          </w:p>
        </w:tc>
        <w:tc>
          <w:tcPr>
            <w:tcW w:w="99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15</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254776">
        <w:trPr>
          <w:trHeight w:val="47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5</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rPr>
                <w:sz w:val="22"/>
                <w:szCs w:val="22"/>
              </w:rPr>
            </w:pPr>
            <w:r>
              <w:rPr>
                <w:sz w:val="22"/>
                <w:szCs w:val="22"/>
              </w:rPr>
              <w:t>2815997336057</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ERR2405</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YAY;KÜLBÜTÖR MİLİ ,MOTOR</w:t>
            </w:r>
          </w:p>
        </w:tc>
        <w:tc>
          <w:tcPr>
            <w:tcW w:w="99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5000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254776">
        <w:trPr>
          <w:trHeight w:val="4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6</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rPr>
                <w:sz w:val="22"/>
                <w:szCs w:val="22"/>
              </w:rPr>
            </w:pPr>
            <w:r>
              <w:rPr>
                <w:sz w:val="22"/>
                <w:szCs w:val="22"/>
              </w:rPr>
              <w:t>2815998068897</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546799</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ITECEK CUBUGU</w:t>
            </w:r>
          </w:p>
        </w:tc>
        <w:tc>
          <w:tcPr>
            <w:tcW w:w="99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250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254776">
        <w:trPr>
          <w:trHeight w:val="49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7</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rPr>
                <w:sz w:val="22"/>
                <w:szCs w:val="22"/>
              </w:rPr>
            </w:pPr>
            <w:r>
              <w:rPr>
                <w:sz w:val="22"/>
                <w:szCs w:val="22"/>
              </w:rPr>
              <w:t>2915151645120</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1467030303</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TRANSFER POMPASI</w:t>
            </w:r>
          </w:p>
        </w:tc>
        <w:tc>
          <w:tcPr>
            <w:tcW w:w="99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500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254776">
        <w:trPr>
          <w:trHeight w:val="43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8</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rPr>
                <w:sz w:val="22"/>
                <w:szCs w:val="22"/>
              </w:rPr>
            </w:pPr>
            <w:r>
              <w:rPr>
                <w:sz w:val="22"/>
                <w:szCs w:val="22"/>
              </w:rPr>
              <w:t>2920994005069</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STC1245</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SELENOİD, MARŞ MOTOR</w:t>
            </w:r>
          </w:p>
        </w:tc>
        <w:tc>
          <w:tcPr>
            <w:tcW w:w="99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50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254776">
        <w:trPr>
          <w:trHeight w:val="50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9</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9</w:t>
            </w:r>
          </w:p>
        </w:tc>
        <w:tc>
          <w:tcPr>
            <w:tcW w:w="170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rPr>
                <w:sz w:val="22"/>
                <w:szCs w:val="22"/>
              </w:rPr>
            </w:pPr>
            <w:r>
              <w:rPr>
                <w:sz w:val="22"/>
                <w:szCs w:val="22"/>
              </w:rPr>
              <w:t>5305994543492</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FS108257L</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CIVATA,FLANŞLI, M8X25 MM.</w:t>
            </w:r>
          </w:p>
        </w:tc>
        <w:tc>
          <w:tcPr>
            <w:tcW w:w="99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5000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254776">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rPr>
                <w:sz w:val="22"/>
                <w:szCs w:val="22"/>
              </w:rPr>
            </w:pPr>
            <w:r>
              <w:rPr>
                <w:sz w:val="22"/>
                <w:szCs w:val="22"/>
              </w:rPr>
              <w:t>5306997021830</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FS108207L</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CİVATA, M8X1,25 L:24,6mm. DIN6921-8.8.GALZN5C</w:t>
            </w:r>
          </w:p>
        </w:tc>
        <w:tc>
          <w:tcPr>
            <w:tcW w:w="99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5000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254776">
        <w:trPr>
          <w:trHeight w:val="46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11</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11</w:t>
            </w:r>
          </w:p>
        </w:tc>
        <w:tc>
          <w:tcPr>
            <w:tcW w:w="170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rPr>
                <w:sz w:val="22"/>
                <w:szCs w:val="22"/>
              </w:rPr>
            </w:pPr>
            <w:r>
              <w:rPr>
                <w:sz w:val="22"/>
                <w:szCs w:val="22"/>
              </w:rPr>
              <w:t>5315993640152</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6395L</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PİM ÖN KAPAK</w:t>
            </w:r>
          </w:p>
        </w:tc>
        <w:tc>
          <w:tcPr>
            <w:tcW w:w="99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600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254776">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12</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rPr>
                <w:sz w:val="22"/>
                <w:szCs w:val="22"/>
              </w:rPr>
            </w:pPr>
            <w:r>
              <w:rPr>
                <w:sz w:val="22"/>
                <w:szCs w:val="22"/>
              </w:rPr>
              <w:t>5330997278334</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ETC8663</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SUBAP LASTIGI</w:t>
            </w:r>
          </w:p>
        </w:tc>
        <w:tc>
          <w:tcPr>
            <w:tcW w:w="99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5000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254776">
        <w:trPr>
          <w:trHeight w:val="40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13</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13</w:t>
            </w:r>
          </w:p>
        </w:tc>
        <w:tc>
          <w:tcPr>
            <w:tcW w:w="170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rPr>
                <w:sz w:val="22"/>
                <w:szCs w:val="22"/>
              </w:rPr>
            </w:pPr>
            <w:r>
              <w:rPr>
                <w:sz w:val="22"/>
                <w:szCs w:val="22"/>
              </w:rPr>
              <w:t>5910270608825</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10121YM0898</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KONDANSATÖR MEKSEFE</w:t>
            </w:r>
          </w:p>
        </w:tc>
        <w:tc>
          <w:tcPr>
            <w:tcW w:w="99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450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254776">
        <w:trPr>
          <w:trHeight w:val="4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14</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14</w:t>
            </w:r>
          </w:p>
        </w:tc>
        <w:tc>
          <w:tcPr>
            <w:tcW w:w="170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rPr>
                <w:sz w:val="22"/>
                <w:szCs w:val="22"/>
              </w:rPr>
            </w:pPr>
            <w:r>
              <w:rPr>
                <w:sz w:val="22"/>
                <w:szCs w:val="22"/>
              </w:rPr>
              <w:t>2920KK0059658</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10121YS0720</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SAPLAMA ŞARJ DİNAMO</w:t>
            </w:r>
          </w:p>
        </w:tc>
        <w:tc>
          <w:tcPr>
            <w:tcW w:w="99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150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254776">
        <w:trPr>
          <w:trHeight w:val="49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15</w:t>
            </w:r>
          </w:p>
        </w:tc>
        <w:tc>
          <w:tcPr>
            <w:tcW w:w="1701" w:type="dxa"/>
            <w:tcBorders>
              <w:top w:val="nil"/>
              <w:left w:val="nil"/>
              <w:bottom w:val="single" w:sz="4" w:space="0" w:color="auto"/>
              <w:right w:val="single" w:sz="4" w:space="0" w:color="auto"/>
            </w:tcBorders>
            <w:shd w:val="clear" w:color="000000" w:fill="FFFFFF"/>
            <w:noWrap/>
            <w:vAlign w:val="center"/>
            <w:hideMark/>
          </w:tcPr>
          <w:p w:rsidR="0069415B" w:rsidRDefault="0069415B" w:rsidP="0069415B">
            <w:pPr>
              <w:rPr>
                <w:sz w:val="22"/>
                <w:szCs w:val="22"/>
              </w:rPr>
            </w:pPr>
            <w:r>
              <w:rPr>
                <w:sz w:val="22"/>
                <w:szCs w:val="22"/>
              </w:rPr>
              <w:t>5306KK0142665</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4136410005</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CİVATA KATRİÇ BAĞLAMA LANDROVER 300TDİ</w:t>
            </w:r>
          </w:p>
        </w:tc>
        <w:tc>
          <w:tcPr>
            <w:tcW w:w="99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3000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254776">
        <w:trPr>
          <w:trHeight w:val="43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16</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16</w:t>
            </w:r>
          </w:p>
        </w:tc>
        <w:tc>
          <w:tcPr>
            <w:tcW w:w="1701" w:type="dxa"/>
            <w:tcBorders>
              <w:top w:val="nil"/>
              <w:left w:val="nil"/>
              <w:bottom w:val="single" w:sz="4" w:space="0" w:color="auto"/>
              <w:right w:val="single" w:sz="4" w:space="0" w:color="auto"/>
            </w:tcBorders>
            <w:shd w:val="clear" w:color="000000" w:fill="FFFFFF"/>
            <w:noWrap/>
            <w:vAlign w:val="center"/>
            <w:hideMark/>
          </w:tcPr>
          <w:p w:rsidR="0069415B" w:rsidRDefault="0069415B" w:rsidP="0069415B">
            <w:pPr>
              <w:rPr>
                <w:sz w:val="22"/>
                <w:szCs w:val="22"/>
              </w:rPr>
            </w:pPr>
            <w:r>
              <w:rPr>
                <w:sz w:val="22"/>
                <w:szCs w:val="22"/>
              </w:rPr>
              <w:t>2990996676483</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LR004492</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KAM MİLİ KONUM SENSÖRÜ</w:t>
            </w:r>
          </w:p>
        </w:tc>
        <w:tc>
          <w:tcPr>
            <w:tcW w:w="99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50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254776">
        <w:trPr>
          <w:trHeight w:val="3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17</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69415B" w:rsidRDefault="0069415B" w:rsidP="0069415B">
            <w:pPr>
              <w:rPr>
                <w:sz w:val="22"/>
                <w:szCs w:val="22"/>
              </w:rPr>
            </w:pPr>
            <w:r>
              <w:rPr>
                <w:sz w:val="22"/>
                <w:szCs w:val="22"/>
              </w:rPr>
              <w:t>2520999748800</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FTC5399</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KUTU ,DİFRANSİYEL ÖN</w:t>
            </w:r>
          </w:p>
        </w:tc>
        <w:tc>
          <w:tcPr>
            <w:tcW w:w="99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30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254776">
        <w:trPr>
          <w:trHeight w:val="48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18</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69415B" w:rsidRDefault="0069415B" w:rsidP="0069415B">
            <w:pPr>
              <w:rPr>
                <w:sz w:val="22"/>
                <w:szCs w:val="22"/>
              </w:rPr>
            </w:pPr>
            <w:r>
              <w:rPr>
                <w:sz w:val="22"/>
                <w:szCs w:val="22"/>
              </w:rPr>
              <w:t>2530997656067</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LR017960</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SAÇ ÇAMURLUK SAĞ</w:t>
            </w:r>
          </w:p>
        </w:tc>
        <w:tc>
          <w:tcPr>
            <w:tcW w:w="99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30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254776">
        <w:trPr>
          <w:trHeight w:val="56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19</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rPr>
                <w:sz w:val="22"/>
                <w:szCs w:val="22"/>
              </w:rPr>
            </w:pPr>
            <w:r>
              <w:rPr>
                <w:sz w:val="22"/>
                <w:szCs w:val="22"/>
              </w:rPr>
              <w:t>2530997922647</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FRC4377</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PORYA KAPAGI</w:t>
            </w:r>
          </w:p>
        </w:tc>
        <w:tc>
          <w:tcPr>
            <w:tcW w:w="99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50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254776">
        <w:trPr>
          <w:trHeight w:val="49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rPr>
                <w:sz w:val="22"/>
                <w:szCs w:val="22"/>
              </w:rPr>
            </w:pPr>
            <w:r>
              <w:rPr>
                <w:sz w:val="22"/>
                <w:szCs w:val="22"/>
              </w:rPr>
              <w:t>3110123261173</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FTC861</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RULMAN, ÖN KÖPRÜ, TASBAŞI</w:t>
            </w:r>
          </w:p>
        </w:tc>
        <w:tc>
          <w:tcPr>
            <w:tcW w:w="99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100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254776">
        <w:trPr>
          <w:trHeight w:val="46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21</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rPr>
                <w:sz w:val="22"/>
                <w:szCs w:val="22"/>
              </w:rPr>
            </w:pPr>
            <w:r>
              <w:rPr>
                <w:sz w:val="22"/>
                <w:szCs w:val="22"/>
              </w:rPr>
              <w:t>5330993567398</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FRC 2889</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KEÇE,YAĞ</w:t>
            </w:r>
          </w:p>
        </w:tc>
        <w:tc>
          <w:tcPr>
            <w:tcW w:w="99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150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254776">
        <w:trPr>
          <w:trHeight w:val="41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22</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rPr>
                <w:sz w:val="22"/>
                <w:szCs w:val="22"/>
              </w:rPr>
            </w:pPr>
            <w:r>
              <w:rPr>
                <w:sz w:val="22"/>
                <w:szCs w:val="22"/>
              </w:rPr>
              <w:t>5330997320468</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FTC 5268</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CONTA,MAFSAL</w:t>
            </w:r>
          </w:p>
        </w:tc>
        <w:tc>
          <w:tcPr>
            <w:tcW w:w="99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500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254776">
        <w:trPr>
          <w:trHeight w:val="44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23</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rPr>
                <w:sz w:val="22"/>
                <w:szCs w:val="22"/>
              </w:rPr>
            </w:pPr>
            <w:r>
              <w:rPr>
                <w:sz w:val="22"/>
                <w:szCs w:val="22"/>
              </w:rPr>
              <w:t>5330999681877</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FTC4851</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KEÇE,DİEFRANSİYEL ARKA MAHRUTİ</w:t>
            </w:r>
          </w:p>
        </w:tc>
        <w:tc>
          <w:tcPr>
            <w:tcW w:w="99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50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69415B">
        <w:trPr>
          <w:trHeight w:val="43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24</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rPr>
                <w:sz w:val="22"/>
                <w:szCs w:val="22"/>
              </w:rPr>
            </w:pPr>
            <w:r>
              <w:rPr>
                <w:sz w:val="22"/>
                <w:szCs w:val="22"/>
              </w:rPr>
              <w:t>5340998071832</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571755</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TUTUCU SAC,ÖN AKS</w:t>
            </w:r>
          </w:p>
        </w:tc>
        <w:tc>
          <w:tcPr>
            <w:tcW w:w="99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50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254776">
        <w:trPr>
          <w:trHeight w:val="43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25</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9</w:t>
            </w:r>
          </w:p>
        </w:tc>
        <w:tc>
          <w:tcPr>
            <w:tcW w:w="170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rPr>
                <w:sz w:val="22"/>
                <w:szCs w:val="22"/>
              </w:rPr>
            </w:pPr>
            <w:r>
              <w:rPr>
                <w:sz w:val="22"/>
                <w:szCs w:val="22"/>
              </w:rPr>
              <w:t>5365997888077</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FRC6790</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ŞİM,1.65 MM.ÖN KÖPRÜ, AKS AYAR</w:t>
            </w:r>
          </w:p>
        </w:tc>
        <w:tc>
          <w:tcPr>
            <w:tcW w:w="99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100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254776">
        <w:trPr>
          <w:trHeight w:val="50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26</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10</w:t>
            </w:r>
          </w:p>
        </w:tc>
        <w:tc>
          <w:tcPr>
            <w:tcW w:w="1701" w:type="dxa"/>
            <w:tcBorders>
              <w:top w:val="nil"/>
              <w:left w:val="nil"/>
              <w:bottom w:val="single" w:sz="4" w:space="0" w:color="auto"/>
              <w:right w:val="single" w:sz="4" w:space="0" w:color="auto"/>
            </w:tcBorders>
            <w:shd w:val="clear" w:color="000000" w:fill="FFFFFF"/>
            <w:noWrap/>
            <w:vAlign w:val="center"/>
            <w:hideMark/>
          </w:tcPr>
          <w:p w:rsidR="0069415B" w:rsidRDefault="0069415B" w:rsidP="0069415B">
            <w:pPr>
              <w:rPr>
                <w:sz w:val="22"/>
                <w:szCs w:val="22"/>
              </w:rPr>
            </w:pPr>
            <w:r>
              <w:rPr>
                <w:sz w:val="22"/>
                <w:szCs w:val="22"/>
              </w:rPr>
              <w:t>5365998740267</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539745</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PUL, MESAFE</w:t>
            </w:r>
          </w:p>
        </w:tc>
        <w:tc>
          <w:tcPr>
            <w:tcW w:w="99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100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254776">
        <w:trPr>
          <w:trHeight w:val="5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27</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11</w:t>
            </w:r>
          </w:p>
        </w:tc>
        <w:tc>
          <w:tcPr>
            <w:tcW w:w="1701" w:type="dxa"/>
            <w:tcBorders>
              <w:top w:val="nil"/>
              <w:left w:val="nil"/>
              <w:bottom w:val="single" w:sz="4" w:space="0" w:color="auto"/>
              <w:right w:val="single" w:sz="4" w:space="0" w:color="auto"/>
            </w:tcBorders>
            <w:shd w:val="clear" w:color="000000" w:fill="FFFFFF"/>
            <w:noWrap/>
            <w:vAlign w:val="center"/>
            <w:hideMark/>
          </w:tcPr>
          <w:p w:rsidR="0069415B" w:rsidRDefault="0069415B" w:rsidP="0069415B">
            <w:pPr>
              <w:rPr>
                <w:sz w:val="22"/>
                <w:szCs w:val="22"/>
              </w:rPr>
            </w:pPr>
            <w:r>
              <w:rPr>
                <w:sz w:val="22"/>
                <w:szCs w:val="22"/>
              </w:rPr>
              <w:t>2520KK0376851</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10121YL0478</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LASTİK ROTBAŞI TOZ</w:t>
            </w:r>
          </w:p>
        </w:tc>
        <w:tc>
          <w:tcPr>
            <w:tcW w:w="99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200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254776">
        <w:trPr>
          <w:trHeight w:val="4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28</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12</w:t>
            </w:r>
          </w:p>
        </w:tc>
        <w:tc>
          <w:tcPr>
            <w:tcW w:w="1701" w:type="dxa"/>
            <w:tcBorders>
              <w:top w:val="nil"/>
              <w:left w:val="nil"/>
              <w:bottom w:val="single" w:sz="4" w:space="0" w:color="auto"/>
              <w:right w:val="single" w:sz="4" w:space="0" w:color="auto"/>
            </w:tcBorders>
            <w:shd w:val="clear" w:color="000000" w:fill="FFFFFF"/>
            <w:noWrap/>
            <w:vAlign w:val="center"/>
            <w:hideMark/>
          </w:tcPr>
          <w:p w:rsidR="0069415B" w:rsidRDefault="0069415B" w:rsidP="0069415B">
            <w:pPr>
              <w:rPr>
                <w:sz w:val="22"/>
                <w:szCs w:val="22"/>
              </w:rPr>
            </w:pPr>
            <w:r>
              <w:rPr>
                <w:sz w:val="22"/>
                <w:szCs w:val="22"/>
              </w:rPr>
              <w:t>5310KK0038485</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PUL55X17X4</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PUL, DÜZ ÖN KÖPRÜ LANDROVER</w:t>
            </w:r>
          </w:p>
        </w:tc>
        <w:tc>
          <w:tcPr>
            <w:tcW w:w="99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500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254776">
        <w:trPr>
          <w:trHeight w:val="61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29</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13</w:t>
            </w:r>
          </w:p>
        </w:tc>
        <w:tc>
          <w:tcPr>
            <w:tcW w:w="1701" w:type="dxa"/>
            <w:tcBorders>
              <w:top w:val="nil"/>
              <w:left w:val="nil"/>
              <w:bottom w:val="single" w:sz="4" w:space="0" w:color="auto"/>
              <w:right w:val="single" w:sz="4" w:space="0" w:color="auto"/>
            </w:tcBorders>
            <w:shd w:val="clear" w:color="000000" w:fill="FFFFFF"/>
            <w:noWrap/>
            <w:vAlign w:val="center"/>
            <w:hideMark/>
          </w:tcPr>
          <w:p w:rsidR="0069415B" w:rsidRDefault="0069415B" w:rsidP="0069415B">
            <w:pPr>
              <w:rPr>
                <w:sz w:val="22"/>
                <w:szCs w:val="22"/>
              </w:rPr>
            </w:pPr>
            <w:r>
              <w:rPr>
                <w:sz w:val="22"/>
                <w:szCs w:val="22"/>
              </w:rPr>
              <w:t>2520997016646</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FTC1725</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AKS MİLİ, SOL ARKA</w:t>
            </w:r>
          </w:p>
        </w:tc>
        <w:tc>
          <w:tcPr>
            <w:tcW w:w="99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30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69415B">
        <w:trPr>
          <w:trHeight w:val="44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lastRenderedPageBreak/>
              <w:t>30</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14</w:t>
            </w:r>
          </w:p>
        </w:tc>
        <w:tc>
          <w:tcPr>
            <w:tcW w:w="1701" w:type="dxa"/>
            <w:tcBorders>
              <w:top w:val="nil"/>
              <w:left w:val="nil"/>
              <w:bottom w:val="single" w:sz="4" w:space="0" w:color="auto"/>
              <w:right w:val="single" w:sz="4" w:space="0" w:color="auto"/>
            </w:tcBorders>
            <w:shd w:val="clear" w:color="000000" w:fill="FFFFFF"/>
            <w:noWrap/>
            <w:vAlign w:val="center"/>
            <w:hideMark/>
          </w:tcPr>
          <w:p w:rsidR="0069415B" w:rsidRDefault="0069415B" w:rsidP="0069415B">
            <w:pPr>
              <w:rPr>
                <w:sz w:val="22"/>
                <w:szCs w:val="22"/>
              </w:rPr>
            </w:pPr>
            <w:r>
              <w:rPr>
                <w:sz w:val="22"/>
                <w:szCs w:val="22"/>
              </w:rPr>
              <w:t>5306997924045</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FRC5926</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SAPLAMA,ÖN PORYALAR</w:t>
            </w:r>
          </w:p>
        </w:tc>
        <w:tc>
          <w:tcPr>
            <w:tcW w:w="99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1000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254776">
        <w:trPr>
          <w:trHeight w:val="51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31</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15</w:t>
            </w:r>
          </w:p>
        </w:tc>
        <w:tc>
          <w:tcPr>
            <w:tcW w:w="1701" w:type="dxa"/>
            <w:tcBorders>
              <w:top w:val="nil"/>
              <w:left w:val="nil"/>
              <w:bottom w:val="single" w:sz="4" w:space="0" w:color="auto"/>
              <w:right w:val="single" w:sz="4" w:space="0" w:color="auto"/>
            </w:tcBorders>
            <w:shd w:val="clear" w:color="000000" w:fill="FFFFFF"/>
            <w:noWrap/>
            <w:vAlign w:val="center"/>
            <w:hideMark/>
          </w:tcPr>
          <w:p w:rsidR="0069415B" w:rsidRDefault="0069415B" w:rsidP="0069415B">
            <w:pPr>
              <w:rPr>
                <w:sz w:val="22"/>
                <w:szCs w:val="22"/>
              </w:rPr>
            </w:pPr>
            <w:r>
              <w:rPr>
                <w:sz w:val="22"/>
                <w:szCs w:val="22"/>
              </w:rPr>
              <w:t>5310991252327</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2215L</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PUL FREN DISK SAÇ</w:t>
            </w:r>
          </w:p>
        </w:tc>
        <w:tc>
          <w:tcPr>
            <w:tcW w:w="99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200</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r w:rsidR="0069415B" w:rsidRPr="002A0E8D" w:rsidTr="00254776">
        <w:trPr>
          <w:trHeight w:val="52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9415B" w:rsidRDefault="0069415B" w:rsidP="0069415B">
            <w:pPr>
              <w:jc w:val="center"/>
              <w:rPr>
                <w:color w:val="auto"/>
                <w:sz w:val="22"/>
                <w:szCs w:val="22"/>
              </w:rPr>
            </w:pPr>
            <w:r>
              <w:rPr>
                <w:sz w:val="22"/>
                <w:szCs w:val="22"/>
              </w:rPr>
              <w:t>32</w:t>
            </w:r>
          </w:p>
        </w:tc>
        <w:tc>
          <w:tcPr>
            <w:tcW w:w="992"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hideMark/>
          </w:tcPr>
          <w:p w:rsidR="0069415B" w:rsidRDefault="0069415B" w:rsidP="0069415B">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69415B" w:rsidRDefault="0069415B" w:rsidP="0069415B">
            <w:pPr>
              <w:rPr>
                <w:sz w:val="22"/>
                <w:szCs w:val="22"/>
              </w:rPr>
            </w:pPr>
            <w:r>
              <w:rPr>
                <w:sz w:val="22"/>
                <w:szCs w:val="22"/>
              </w:rPr>
              <w:t>2520994504322</w:t>
            </w:r>
          </w:p>
        </w:tc>
        <w:tc>
          <w:tcPr>
            <w:tcW w:w="170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TDB500280</w:t>
            </w:r>
          </w:p>
        </w:tc>
        <w:tc>
          <w:tcPr>
            <w:tcW w:w="2551" w:type="dxa"/>
            <w:tcBorders>
              <w:top w:val="nil"/>
              <w:left w:val="nil"/>
              <w:bottom w:val="single" w:sz="4" w:space="0" w:color="auto"/>
              <w:right w:val="single" w:sz="4" w:space="0" w:color="auto"/>
            </w:tcBorders>
            <w:shd w:val="clear" w:color="auto" w:fill="auto"/>
            <w:vAlign w:val="center"/>
            <w:hideMark/>
          </w:tcPr>
          <w:p w:rsidR="0069415B" w:rsidRDefault="0069415B" w:rsidP="0069415B">
            <w:pPr>
              <w:rPr>
                <w:sz w:val="22"/>
                <w:szCs w:val="22"/>
              </w:rPr>
            </w:pPr>
            <w:r>
              <w:rPr>
                <w:sz w:val="22"/>
                <w:szCs w:val="22"/>
              </w:rPr>
              <w:t>AKS MİLİ MAFSALLI KOMPLE, SAĞ</w:t>
            </w:r>
          </w:p>
        </w:tc>
        <w:tc>
          <w:tcPr>
            <w:tcW w:w="99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85</w:t>
            </w:r>
          </w:p>
        </w:tc>
        <w:tc>
          <w:tcPr>
            <w:tcW w:w="851" w:type="dxa"/>
            <w:tcBorders>
              <w:top w:val="nil"/>
              <w:left w:val="nil"/>
              <w:bottom w:val="single" w:sz="4" w:space="0" w:color="auto"/>
              <w:right w:val="single" w:sz="4" w:space="0" w:color="auto"/>
            </w:tcBorders>
            <w:shd w:val="clear" w:color="auto" w:fill="auto"/>
            <w:noWrap/>
            <w:vAlign w:val="center"/>
            <w:hideMark/>
          </w:tcPr>
          <w:p w:rsidR="0069415B" w:rsidRDefault="0069415B" w:rsidP="0069415B">
            <w:pPr>
              <w:jc w:val="center"/>
              <w:rPr>
                <w:sz w:val="22"/>
                <w:szCs w:val="22"/>
              </w:rPr>
            </w:pPr>
            <w:r>
              <w:rPr>
                <w:sz w:val="22"/>
                <w:szCs w:val="22"/>
              </w:rPr>
              <w:t>AD</w:t>
            </w:r>
          </w:p>
        </w:tc>
      </w:tr>
    </w:tbl>
    <w:p w:rsidR="002A0E8D" w:rsidRPr="00621907" w:rsidRDefault="002A0E8D">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C37BAF">
        <w:rPr>
          <w:b/>
          <w:bCs/>
          <w:color w:val="FF0000"/>
          <w:sz w:val="22"/>
          <w:szCs w:val="22"/>
        </w:rPr>
        <w:t>Alım konusu malın, milli savunma ve iç güvenliğe yönelik kullanılan Araç ve gereçlere ait olması sebebiyle</w:t>
      </w:r>
      <w:r w:rsidR="001F68BB" w:rsidRPr="00621907">
        <w:rPr>
          <w:b/>
          <w:bCs/>
          <w:color w:val="FF0000"/>
          <w:sz w:val="22"/>
          <w:szCs w:val="22"/>
        </w:rPr>
        <w:t xml:space="preserve"> </w:t>
      </w:r>
      <w:r w:rsidRPr="00621907">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621907" w:rsidRDefault="007731F1">
      <w:pPr>
        <w:overflowPunct/>
        <w:adjustRightInd w:val="0"/>
        <w:rPr>
          <w:rFonts w:eastAsia="Times New Roman"/>
          <w:b/>
          <w:bCs/>
          <w:color w:val="auto"/>
          <w:sz w:val="22"/>
          <w:szCs w:val="22"/>
        </w:rPr>
      </w:pPr>
      <w:r w:rsidRPr="00621907">
        <w:rPr>
          <w:b/>
          <w:bCs/>
          <w:color w:val="auto"/>
          <w:sz w:val="22"/>
          <w:szCs w:val="22"/>
        </w:rPr>
        <w:t xml:space="preserve">Madde 8 - </w:t>
      </w:r>
      <w:r w:rsidRPr="00621907">
        <w:rPr>
          <w:rFonts w:eastAsia="Times New Roman"/>
          <w:b/>
          <w:bCs/>
          <w:color w:val="auto"/>
          <w:sz w:val="22"/>
          <w:szCs w:val="22"/>
        </w:rPr>
        <w:t>MALZEMENİN TESLİM EDİLME YERİ, TESLİM ŞEKLİ, SÜRESİ VE TESLİM  PROGRAMINDA DEĞİŞİKLİK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8.1. Malzemenin Teslim Şekli ve Süresi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Malzeme, sözleşmenin yürürlüğe girmesini </w:t>
      </w:r>
      <w:r w:rsidR="00304602" w:rsidRPr="00621907">
        <w:rPr>
          <w:rFonts w:eastAsia="Times New Roman"/>
          <w:b/>
          <w:color w:val="auto"/>
          <w:sz w:val="22"/>
          <w:szCs w:val="22"/>
        </w:rPr>
        <w:t>müteakip</w:t>
      </w:r>
      <w:r w:rsidR="00A33E7E" w:rsidRPr="00621907">
        <w:rPr>
          <w:b/>
          <w:sz w:val="22"/>
          <w:szCs w:val="22"/>
        </w:rPr>
        <w:t xml:space="preserve"> </w:t>
      </w:r>
      <w:r w:rsidR="0069415B" w:rsidRPr="0069415B">
        <w:rPr>
          <w:rFonts w:eastAsia="Times New Roman"/>
          <w:b/>
          <w:color w:val="auto"/>
        </w:rPr>
        <w:t xml:space="preserve">TÜM KISIMLAR İÇİN 75 (YETMİŞBEŞ) TAKVİM </w:t>
      </w:r>
      <w:r w:rsidR="009B1CA3" w:rsidRPr="009B1CA3">
        <w:rPr>
          <w:rFonts w:eastAsia="Times New Roman"/>
          <w:b/>
          <w:color w:val="auto"/>
        </w:rPr>
        <w:t>GÜNÜ</w:t>
      </w:r>
      <w:r w:rsidR="007A1D83">
        <w:rPr>
          <w:rFonts w:eastAsia="Times New Roman"/>
          <w:b/>
          <w:color w:val="FF0000"/>
          <w:sz w:val="22"/>
          <w:szCs w:val="22"/>
        </w:rPr>
        <w:t xml:space="preserve"> </w:t>
      </w:r>
      <w:r w:rsidRPr="00621907">
        <w:rPr>
          <w:rFonts w:eastAsia="Times New Roman"/>
          <w:color w:val="auto"/>
          <w:sz w:val="22"/>
          <w:szCs w:val="22"/>
        </w:rPr>
        <w:t xml:space="preserve">içerisinde </w:t>
      </w:r>
      <w:r w:rsidRPr="00621907">
        <w:rPr>
          <w:rFonts w:eastAsia="Times New Roman"/>
          <w:b/>
          <w:color w:val="auto"/>
          <w:sz w:val="22"/>
          <w:szCs w:val="22"/>
        </w:rPr>
        <w:t>tek parti</w:t>
      </w:r>
      <w:r w:rsidRPr="00621907">
        <w:rPr>
          <w:rFonts w:eastAsia="Times New Roman"/>
          <w:color w:val="auto"/>
          <w:sz w:val="22"/>
          <w:szCs w:val="22"/>
        </w:rPr>
        <w:t xml:space="preserve"> halinde TESLİM YERİNE teslim edilecektir. Yüklenici tarafından yapılacak erken teslim İdare tarafından kabul edilecektir.</w:t>
      </w:r>
      <w:r w:rsidR="00191FCB" w:rsidRPr="00621907">
        <w:rPr>
          <w:rFonts w:eastAsia="Times New Roman"/>
          <w:color w:val="auto"/>
          <w:sz w:val="22"/>
          <w:szCs w:val="22"/>
        </w:rPr>
        <w:t xml:space="preserve"> </w:t>
      </w:r>
      <w:r w:rsidR="0081591C" w:rsidRPr="00621907">
        <w:rPr>
          <w:rFonts w:eastAsia="Times New Roman"/>
          <w:color w:val="auto"/>
          <w:sz w:val="22"/>
          <w:szCs w:val="22"/>
        </w:rPr>
        <w:t xml:space="preserve"> </w:t>
      </w:r>
    </w:p>
    <w:p w:rsidR="008C3C76" w:rsidRPr="00621907" w:rsidRDefault="008C3C76">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lastRenderedPageBreak/>
        <w:t>8.2. Malzemenin Teslim Edilme Yeri :</w:t>
      </w:r>
    </w:p>
    <w:p w:rsidR="007731F1" w:rsidRPr="00621907" w:rsidRDefault="007731F1">
      <w:pPr>
        <w:overflowPunct/>
        <w:adjustRightInd w:val="0"/>
        <w:rPr>
          <w:b/>
          <w:bCs/>
          <w:color w:val="auto"/>
          <w:sz w:val="22"/>
          <w:szCs w:val="22"/>
        </w:rPr>
      </w:pPr>
      <w:r w:rsidRPr="00621907">
        <w:rPr>
          <w:rFonts w:eastAsia="Times New Roman"/>
          <w:color w:val="auto"/>
          <w:sz w:val="22"/>
          <w:szCs w:val="22"/>
        </w:rPr>
        <w:t xml:space="preserve">Teslim Yeri : </w:t>
      </w:r>
      <w:r w:rsidRPr="00621907">
        <w:rPr>
          <w:b/>
          <w:bCs/>
          <w:color w:val="auto"/>
          <w:sz w:val="22"/>
          <w:szCs w:val="22"/>
        </w:rPr>
        <w:t xml:space="preserve">6'ncı Ana Bakım </w:t>
      </w:r>
      <w:r w:rsidR="00FD56E3" w:rsidRPr="00621907">
        <w:rPr>
          <w:b/>
          <w:bCs/>
          <w:color w:val="auto"/>
          <w:sz w:val="22"/>
          <w:szCs w:val="22"/>
        </w:rPr>
        <w:t>Fabrika Müdürlüğü</w:t>
      </w:r>
      <w:r w:rsidRPr="00621907">
        <w:rPr>
          <w:b/>
          <w:bCs/>
          <w:color w:val="auto"/>
          <w:sz w:val="22"/>
          <w:szCs w:val="22"/>
        </w:rPr>
        <w:t xml:space="preserve"> Taşınır (Dayanıklı) - Tşn.(Day.) 506 Mal Saymanlığı    (BALIKESİR)</w:t>
      </w:r>
    </w:p>
    <w:p w:rsidR="008C3C76" w:rsidRPr="00621907" w:rsidRDefault="008C3C76">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overflowPunct/>
        <w:adjustRightInd w:val="0"/>
        <w:rPr>
          <w:b/>
          <w:bCs/>
          <w:color w:val="auto"/>
          <w:sz w:val="22"/>
          <w:szCs w:val="22"/>
        </w:rPr>
      </w:pP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621907" w:rsidRDefault="007731F1">
      <w:pPr>
        <w:jc w:val="both"/>
        <w:rPr>
          <w:b/>
          <w:bCs/>
          <w:color w:val="auto"/>
          <w:sz w:val="22"/>
          <w:szCs w:val="22"/>
        </w:rPr>
      </w:pPr>
      <w:r w:rsidRPr="00621907">
        <w:rPr>
          <w:b/>
          <w:bCs/>
          <w:color w:val="auto"/>
          <w:sz w:val="22"/>
          <w:szCs w:val="22"/>
        </w:rPr>
        <w:t xml:space="preserve">9.3.3. </w:t>
      </w:r>
      <w:r w:rsidRPr="00621907">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621907">
        <w:rPr>
          <w:b/>
          <w:bCs/>
          <w:color w:val="auto"/>
          <w:sz w:val="22"/>
          <w:szCs w:val="22"/>
        </w:rPr>
        <w:t xml:space="preserve"> </w:t>
      </w:r>
    </w:p>
    <w:p w:rsidR="007731F1" w:rsidRPr="00621907" w:rsidRDefault="007731F1" w:rsidP="00CE76A3">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lastRenderedPageBreak/>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201</w:t>
      </w:r>
      <w:r w:rsidR="00C37BAF">
        <w:rPr>
          <w:rFonts w:eastAsia="Times New Roman"/>
          <w:bCs/>
          <w:color w:val="auto"/>
          <w:sz w:val="22"/>
          <w:szCs w:val="22"/>
        </w:rPr>
        <w:t>9</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Pr>
          <w:rFonts w:eastAsia="Times New Roman"/>
          <w:bCs/>
          <w:color w:val="auto"/>
          <w:sz w:val="22"/>
          <w:szCs w:val="22"/>
        </w:rPr>
        <w:t>9</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7731F1" w:rsidRPr="00621907" w:rsidRDefault="007731F1">
      <w:pPr>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İdare, Yükleniciden kaynaklanan bir kusurdan ileri gelmemiş olması, taahhüdün kısmen veya tamamen yerine getirilmesine engel nitelikte olması, yüklenicinin bu engeli ortadan kaldırmaya gücünün yetmemiş bulunması </w:t>
      </w:r>
      <w:r w:rsidRPr="00621907">
        <w:rPr>
          <w:rFonts w:eastAsia="Times New Roman"/>
          <w:color w:val="auto"/>
          <w:sz w:val="22"/>
          <w:szCs w:val="22"/>
        </w:rPr>
        <w:lastRenderedPageBreak/>
        <w:t>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69415B" w:rsidRDefault="0069415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621907">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621907">
        <w:rPr>
          <w:bCs/>
          <w:sz w:val="22"/>
          <w:szCs w:val="22"/>
        </w:rPr>
        <w:t xml:space="preserve">15.2.2. Yükleniciye süre uzatımı verilmesi halinde, yüklenici yeni teslim sürelerini gösterir teslim programını en geç beş iş günü içinde İdareye bildirir. </w:t>
      </w:r>
    </w:p>
    <w:p w:rsidR="00084DF8" w:rsidRPr="00621907" w:rsidRDefault="00084DF8">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69415B" w:rsidRDefault="0069415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w:t>
      </w:r>
      <w:r w:rsidRPr="00621907">
        <w:rPr>
          <w:rFonts w:eastAsia="Times New Roman"/>
          <w:color w:val="auto"/>
          <w:sz w:val="22"/>
          <w:szCs w:val="22"/>
        </w:rPr>
        <w:lastRenderedPageBreak/>
        <w:t>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15.6. Sözleşme Kapsamında Yapılacak İşin Artışı ve Eksilişi ve İşin Tasfiyesi: </w:t>
      </w:r>
    </w:p>
    <w:p w:rsidR="007731F1" w:rsidRPr="00621907" w:rsidRDefault="007731F1">
      <w:pPr>
        <w:overflowPunct/>
        <w:adjustRightInd w:val="0"/>
        <w:jc w:val="both"/>
        <w:rPr>
          <w:rFonts w:eastAsia="Times New Roman"/>
          <w:color w:val="auto"/>
          <w:sz w:val="22"/>
          <w:szCs w:val="22"/>
        </w:rPr>
      </w:pPr>
      <w:r w:rsidRPr="00621907">
        <w:rPr>
          <w:rFonts w:eastAsia="Times New Roman"/>
          <w:bCs/>
          <w:color w:val="auto"/>
          <w:sz w:val="22"/>
          <w:szCs w:val="22"/>
        </w:rPr>
        <w:t>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 xml:space="preserve">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w:t>
      </w:r>
      <w:r w:rsidRPr="00621907">
        <w:rPr>
          <w:rFonts w:eastAsia="Times New Roman"/>
          <w:color w:val="auto"/>
          <w:sz w:val="22"/>
          <w:szCs w:val="22"/>
        </w:rPr>
        <w:lastRenderedPageBreak/>
        <w:t>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69415B" w:rsidRDefault="0069415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spacing w:before="120"/>
        <w:jc w:val="both"/>
        <w:rPr>
          <w:b/>
          <w:bCs/>
          <w:color w:val="auto"/>
          <w:sz w:val="22"/>
          <w:szCs w:val="22"/>
        </w:rPr>
      </w:pPr>
      <w:r w:rsidRPr="00621907">
        <w:rPr>
          <w:b/>
          <w:bCs/>
          <w:color w:val="auto"/>
          <w:sz w:val="22"/>
          <w:szCs w:val="22"/>
        </w:rPr>
        <w:t>MADDE 18 - YÜKLENİCİNİN GENEL YÜKÜMLÜLÜKLERİ</w:t>
      </w: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621907" w:rsidRDefault="007731F1">
      <w:pPr>
        <w:jc w:val="both"/>
        <w:rPr>
          <w:bCs/>
          <w:color w:val="auto"/>
          <w:sz w:val="22"/>
          <w:szCs w:val="22"/>
        </w:rPr>
      </w:pPr>
      <w:r w:rsidRPr="00621907">
        <w:rPr>
          <w:b/>
          <w:bCs/>
          <w:color w:val="auto"/>
          <w:sz w:val="22"/>
          <w:szCs w:val="22"/>
        </w:rPr>
        <w:t>18.3</w:t>
      </w:r>
      <w:r w:rsidRPr="00621907">
        <w:rPr>
          <w:bCs/>
          <w:color w:val="auto"/>
          <w:sz w:val="22"/>
          <w:szCs w:val="22"/>
        </w:rPr>
        <w:t xml:space="preserve">. İş programı </w:t>
      </w:r>
    </w:p>
    <w:p w:rsidR="007731F1" w:rsidRPr="00621907" w:rsidRDefault="007731F1">
      <w:pPr>
        <w:jc w:val="both"/>
        <w:rPr>
          <w:bCs/>
          <w:color w:val="auto"/>
          <w:sz w:val="22"/>
          <w:szCs w:val="22"/>
        </w:rPr>
      </w:pPr>
      <w:r w:rsidRPr="00621907">
        <w:rPr>
          <w:b/>
          <w:bCs/>
          <w:color w:val="auto"/>
          <w:sz w:val="22"/>
          <w:szCs w:val="22"/>
        </w:rPr>
        <w:lastRenderedPageBreak/>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7731F1">
      <w:pPr>
        <w:jc w:val="both"/>
        <w:rPr>
          <w:bCs/>
          <w:color w:val="auto"/>
          <w:sz w:val="22"/>
          <w:szCs w:val="22"/>
        </w:rPr>
      </w:pPr>
      <w:r w:rsidRPr="00621907">
        <w:rPr>
          <w:bCs/>
          <w:color w:val="auto"/>
          <w:sz w:val="22"/>
          <w:szCs w:val="22"/>
        </w:rPr>
        <w:t xml:space="preserve">e) Varsa kalite belgeleri, test sonuçları ve malzemelere ilişkin sertifikalar, ile İdarece talep edilecek ilave belge ve bilgiler yer alacaktır.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504B19" w:rsidRPr="00621907" w:rsidRDefault="00504B19">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0B5872" w:rsidRDefault="000B5872">
      <w:pPr>
        <w:pStyle w:val="GvdeMetni21"/>
        <w:tabs>
          <w:tab w:val="left" w:pos="709"/>
          <w:tab w:val="left" w:pos="993"/>
        </w:tabs>
        <w:spacing w:after="120" w:line="240" w:lineRule="auto"/>
        <w:rPr>
          <w:rFonts w:ascii="Times New Roman" w:hAnsi="Times New Roman"/>
          <w:bCs/>
          <w:sz w:val="22"/>
          <w:szCs w:val="22"/>
        </w:rPr>
      </w:pP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lastRenderedPageBreak/>
        <w:t>Madde 19 - EĞİTİM :</w:t>
      </w:r>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621907" w:rsidRDefault="008D316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 xml:space="preserve">İdare ve Yüklenici arasında sözleşmenin uygulanmasına yönelik her türlü işlem yazılı yapılır. Sözleşmeye göre taraflardan birinin sözleşmenin yürütülmesi ve malzemenin teslim edilmesine ilişkin bir izin, onay, belge, </w:t>
      </w:r>
      <w:r w:rsidRPr="00621907">
        <w:rPr>
          <w:rFonts w:eastAsia="Times New Roman"/>
          <w:color w:val="auto"/>
          <w:sz w:val="22"/>
          <w:szCs w:val="22"/>
        </w:rPr>
        <w:lastRenderedPageBreak/>
        <w:t>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304602" w:rsidRPr="00621907" w:rsidRDefault="00304602"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CC6F3C"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t>g. Satın alınacak malzemelere ait Kalite Güvence ve Ürün Kalite Belgeleri istenmeyecektir.</w:t>
      </w:r>
      <w:r w:rsidRPr="00621907">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CC6F3C" w:rsidRDefault="00CC6F3C" w:rsidP="00304602">
      <w:pPr>
        <w:overflowPunct/>
        <w:autoSpaceDE/>
        <w:rPr>
          <w:rFonts w:eastAsia="Times New Roman"/>
          <w:bCs/>
          <w:color w:val="auto"/>
          <w:sz w:val="22"/>
          <w:szCs w:val="22"/>
        </w:rPr>
      </w:pP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423C5B" w:rsidRDefault="00423C5B"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r w:rsidRPr="00621907">
        <w:rPr>
          <w:rFonts w:eastAsia="Times New Roman"/>
          <w:b/>
          <w:bCs/>
          <w:color w:val="auto"/>
          <w:sz w:val="22"/>
          <w:szCs w:val="22"/>
        </w:rPr>
        <w:br/>
        <w:t>Fiziksel muayene aşamasında teslim edilecek belgeler:</w:t>
      </w:r>
    </w:p>
    <w:p w:rsidR="008D3161" w:rsidRPr="00621907" w:rsidRDefault="00304602" w:rsidP="00191FCB">
      <w:pPr>
        <w:overflowPunct/>
        <w:autoSpaceDE/>
        <w:rPr>
          <w:rFonts w:eastAsia="Times New Roman"/>
          <w:b/>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p>
    <w:p w:rsidR="00304602" w:rsidRPr="00621907" w:rsidRDefault="00304602" w:rsidP="00191FCB">
      <w:pPr>
        <w:overflowPunct/>
        <w:autoSpaceDE/>
        <w:rPr>
          <w:rFonts w:eastAsia="Times New Roman"/>
          <w:b/>
          <w:bCs/>
          <w:color w:val="auto"/>
          <w:sz w:val="22"/>
          <w:szCs w:val="22"/>
        </w:rPr>
      </w:pP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07717D" w:rsidRDefault="00304602" w:rsidP="00304602">
      <w:pPr>
        <w:overflowPunct/>
        <w:autoSpaceDE/>
        <w:rPr>
          <w:rFonts w:eastAsia="Times New Roman"/>
          <w:b/>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r>
      <w:r w:rsidRPr="00621907">
        <w:rPr>
          <w:rFonts w:eastAsia="Times New Roman"/>
          <w:bCs/>
          <w:color w:val="auto"/>
          <w:sz w:val="22"/>
          <w:szCs w:val="22"/>
        </w:rPr>
        <w:lastRenderedPageBreak/>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p>
    <w:p w:rsidR="00304602" w:rsidRPr="00621907" w:rsidRDefault="008217D7" w:rsidP="00304602">
      <w:pPr>
        <w:overflowPunct/>
        <w:autoSpaceDE/>
        <w:rPr>
          <w:rFonts w:eastAsia="Times New Roman"/>
          <w:b/>
          <w:bCs/>
          <w:color w:val="auto"/>
          <w:sz w:val="22"/>
          <w:szCs w:val="22"/>
        </w:rPr>
      </w:pPr>
      <w:r w:rsidRPr="00621907">
        <w:rPr>
          <w:rFonts w:eastAsia="Times New Roman"/>
          <w:b/>
          <w:bCs/>
          <w:color w:val="auto"/>
          <w:sz w:val="22"/>
          <w:szCs w:val="22"/>
        </w:rPr>
        <w:t>Laboratuvar</w:t>
      </w:r>
      <w:r w:rsidR="00304602"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0B5872" w:rsidRDefault="00304602" w:rsidP="00304602">
      <w:pPr>
        <w:overflowPunct/>
        <w:autoSpaceDE/>
        <w:rPr>
          <w:rFonts w:eastAsia="Times New Roman"/>
          <w:b/>
          <w:bCs/>
          <w:color w:val="FF0000"/>
          <w:sz w:val="22"/>
          <w:szCs w:val="22"/>
        </w:rPr>
      </w:pPr>
      <w:r w:rsidRPr="00621907">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p>
    <w:p w:rsidR="0069415B" w:rsidRDefault="00304602" w:rsidP="00304602">
      <w:pPr>
        <w:overflowPunct/>
        <w:autoSpaceDE/>
        <w:rPr>
          <w:rFonts w:eastAsia="Times New Roman"/>
          <w:bCs/>
          <w:color w:val="auto"/>
          <w:sz w:val="22"/>
          <w:szCs w:val="22"/>
        </w:rPr>
      </w:pPr>
      <w:r w:rsidRPr="00621907">
        <w:rPr>
          <w:rFonts w:eastAsia="Times New Roman"/>
          <w:b/>
          <w:bCs/>
          <w:color w:val="FF0000"/>
          <w:sz w:val="22"/>
          <w:szCs w:val="22"/>
        </w:rPr>
        <w:t>İtiraz Muayeneleri:</w:t>
      </w:r>
      <w:r w:rsidRPr="00621907">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r>
    </w:p>
    <w:p w:rsidR="0069415B" w:rsidRDefault="00304602" w:rsidP="00304602">
      <w:pPr>
        <w:overflowPunct/>
        <w:autoSpaceDE/>
        <w:rPr>
          <w:rFonts w:eastAsia="Times New Roman"/>
          <w:bCs/>
          <w:color w:val="auto"/>
          <w:sz w:val="22"/>
          <w:szCs w:val="22"/>
        </w:rPr>
      </w:pPr>
      <w:r w:rsidRPr="00621907">
        <w:rPr>
          <w:rFonts w:eastAsia="Times New Roman"/>
          <w:bCs/>
          <w:color w:val="auto"/>
          <w:sz w:val="22"/>
          <w:szCs w:val="22"/>
        </w:rPr>
        <w:lastRenderedPageBreak/>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r>
    </w:p>
    <w:p w:rsidR="00304602" w:rsidRPr="00621907" w:rsidRDefault="00304602" w:rsidP="00304602">
      <w:pPr>
        <w:overflowPunct/>
        <w:autoSpaceDE/>
        <w:rPr>
          <w:rFonts w:eastAsia="Times New Roman"/>
          <w:bCs/>
          <w:color w:val="auto"/>
          <w:sz w:val="22"/>
          <w:szCs w:val="22"/>
        </w:rPr>
      </w:pPr>
      <w:r w:rsidRPr="00621907">
        <w:rPr>
          <w:rFonts w:eastAsia="Times New Roman"/>
          <w:bCs/>
          <w:color w:val="auto"/>
          <w:sz w:val="22"/>
          <w:szCs w:val="22"/>
        </w:rPr>
        <w:lastRenderedPageBreak/>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r w:rsidR="008217D7" w:rsidRPr="00621907">
        <w:rPr>
          <w:rFonts w:eastAsia="Times New Roman"/>
          <w:b/>
          <w:bCs/>
          <w:color w:val="auto"/>
          <w:sz w:val="22"/>
          <w:szCs w:val="22"/>
        </w:rPr>
        <w:t>Muayene Paylarına</w:t>
      </w:r>
      <w:r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4C767A" w:rsidRPr="00621907" w:rsidRDefault="00304602" w:rsidP="00304602">
      <w:pPr>
        <w:overflowPunct/>
        <w:adjustRightInd w:val="0"/>
        <w:rPr>
          <w:rFonts w:eastAsia="Times New Roman"/>
          <w:b/>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p>
    <w:p w:rsidR="00304602" w:rsidRPr="00621907" w:rsidRDefault="00304602" w:rsidP="00304602">
      <w:pPr>
        <w:overflowPunct/>
        <w:adjustRightInd w:val="0"/>
        <w:rPr>
          <w:rFonts w:eastAsia="Times New Roman"/>
          <w:bCs/>
          <w:color w:val="auto"/>
          <w:sz w:val="22"/>
          <w:szCs w:val="22"/>
        </w:rPr>
      </w:pPr>
      <w:r w:rsidRPr="00621907">
        <w:rPr>
          <w:rFonts w:eastAsia="Times New Roman"/>
          <w:b/>
          <w:bCs/>
          <w:color w:val="auto"/>
          <w:sz w:val="22"/>
          <w:szCs w:val="22"/>
        </w:rPr>
        <w:lastRenderedPageBreak/>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F97DF7" w:rsidRPr="00621907" w:rsidRDefault="00F97DF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Pr="00621907" w:rsidRDefault="008C3C76" w:rsidP="00E62F78">
      <w:pPr>
        <w:overflowPunct/>
        <w:adjustRightInd w:val="0"/>
        <w:rPr>
          <w:rFonts w:eastAsia="Times New Roman"/>
          <w:b/>
          <w:bCs/>
          <w:color w:val="auto"/>
          <w:sz w:val="22"/>
          <w:szCs w:val="22"/>
        </w:rPr>
      </w:pPr>
    </w:p>
    <w:p w:rsidR="003F4306" w:rsidRDefault="00E62F78" w:rsidP="00E62F78">
      <w:pPr>
        <w:overflowPunct/>
        <w:adjustRightInd w:val="0"/>
        <w:rPr>
          <w:rFonts w:eastAsia="Times New Roman"/>
          <w:b/>
          <w:bCs/>
          <w:color w:val="auto"/>
          <w:sz w:val="22"/>
          <w:szCs w:val="22"/>
        </w:rPr>
      </w:pPr>
      <w:r w:rsidRPr="00621907">
        <w:rPr>
          <w:rFonts w:eastAsia="Times New Roman"/>
          <w:b/>
          <w:bCs/>
          <w:color w:val="auto"/>
          <w:sz w:val="22"/>
          <w:szCs w:val="22"/>
        </w:rPr>
        <w:t>27.2. Kısmi Kabul Şekil ve Şartları:</w:t>
      </w:r>
      <w:r w:rsidR="00F97DF7" w:rsidRPr="00621907">
        <w:rPr>
          <w:rFonts w:eastAsia="Times New Roman"/>
          <w:b/>
          <w:bCs/>
          <w:color w:val="auto"/>
          <w:sz w:val="22"/>
          <w:szCs w:val="22"/>
        </w:rPr>
        <w:t xml:space="preserve"> </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a</w:t>
      </w:r>
      <w:r w:rsidR="00E62F78" w:rsidRPr="00621907">
        <w:rPr>
          <w:rFonts w:eastAsia="Times New Roman"/>
          <w:b/>
          <w:bCs/>
          <w:color w:val="003399"/>
          <w:sz w:val="22"/>
          <w:szCs w:val="22"/>
        </w:rPr>
        <w:t>. Kısım içerisindeki her bir kalem, kısmi kabule konu olacak müstakil kullanıma elverişli bir bölümü oluşturur.</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b</w:t>
      </w:r>
      <w:r w:rsidR="00E62F78" w:rsidRPr="00621907">
        <w:rPr>
          <w:rFonts w:eastAsia="Times New Roman"/>
          <w:b/>
          <w:bCs/>
          <w:color w:val="003399"/>
          <w:sz w:val="22"/>
          <w:szCs w:val="22"/>
        </w:rPr>
        <w:t xml:space="preserve">. Kabul muayeneleri sonucunda; ihale yetkilisinin uygun görmesi koşulu ile taahhüt konusu işin tamamlanmış ve müstakil kullanıma elverişli bölümleri için kısmı kabul yapılacaktır. </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c</w:t>
      </w:r>
      <w:r w:rsidR="00E62F78" w:rsidRPr="00621907">
        <w:rPr>
          <w:rFonts w:eastAsia="Times New Roman"/>
          <w:b/>
          <w:bCs/>
          <w:color w:val="003399"/>
          <w:sz w:val="22"/>
          <w:szCs w:val="22"/>
        </w:rPr>
        <w:t>.</w:t>
      </w:r>
      <w:r w:rsidRPr="00621907">
        <w:rPr>
          <w:rFonts w:eastAsia="Times New Roman"/>
          <w:b/>
          <w:bCs/>
          <w:color w:val="003399"/>
          <w:sz w:val="22"/>
          <w:szCs w:val="22"/>
        </w:rPr>
        <w:t xml:space="preserve"> </w:t>
      </w:r>
      <w:r w:rsidR="00E62F78" w:rsidRPr="00621907">
        <w:rPr>
          <w:rFonts w:eastAsia="Times New Roman"/>
          <w:b/>
          <w:bCs/>
          <w:color w:val="003399"/>
          <w:sz w:val="22"/>
          <w:szCs w:val="22"/>
        </w:rPr>
        <w:t>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ç</w:t>
      </w:r>
      <w:r w:rsidR="00E62F78" w:rsidRPr="00621907">
        <w:rPr>
          <w:rFonts w:eastAsia="Times New Roman"/>
          <w:b/>
          <w:bCs/>
          <w:color w:val="003399"/>
          <w:sz w:val="22"/>
          <w:szCs w:val="22"/>
        </w:rPr>
        <w:t>. Kısmi kabul yapılmış olması, cezai hükümlerinin uygulanmasını ortadan kaldırmaz.</w:t>
      </w:r>
    </w:p>
    <w:p w:rsidR="007731F1" w:rsidRPr="00621907" w:rsidRDefault="007731F1" w:rsidP="003D04A0">
      <w:pPr>
        <w:overflowPunct/>
        <w:adjustRightInd w:val="0"/>
        <w:rPr>
          <w:rFonts w:eastAsia="Times New Roman"/>
          <w:b/>
          <w:bCs/>
          <w:color w:val="auto"/>
          <w:sz w:val="22"/>
          <w:szCs w:val="22"/>
        </w:rPr>
      </w:pPr>
      <w:r w:rsidRPr="00621907">
        <w:rPr>
          <w:rFonts w:eastAsia="Times New Roman"/>
          <w:bCs/>
          <w:color w:val="003399"/>
          <w:sz w:val="22"/>
          <w:szCs w:val="22"/>
        </w:rPr>
        <w:br/>
      </w: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7731F1" w:rsidRPr="00621907" w:rsidRDefault="007731F1">
      <w:pPr>
        <w:overflowPunct/>
        <w:adjustRightInd w:val="0"/>
        <w:jc w:val="both"/>
        <w:rPr>
          <w:rFonts w:eastAsia="Times New Roman"/>
          <w:b/>
          <w:bCs/>
          <w:color w:val="auto"/>
          <w:sz w:val="22"/>
          <w:szCs w:val="22"/>
        </w:rPr>
      </w:pPr>
    </w:p>
    <w:p w:rsidR="003F4306" w:rsidRDefault="003F4306">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621907" w:rsidRDefault="007731F1">
      <w:pPr>
        <w:overflowPunct/>
        <w:adjustRightInd w:val="0"/>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3E31B7"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w:t>
      </w:r>
      <w:r w:rsidRPr="00621907">
        <w:rPr>
          <w:rFonts w:eastAsia="Times New Roman"/>
          <w:b/>
          <w:bCs/>
          <w:color w:val="003399"/>
          <w:sz w:val="22"/>
          <w:szCs w:val="22"/>
        </w:rPr>
        <w:lastRenderedPageBreak/>
        <w:t xml:space="preserve">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p>
    <w:p w:rsidR="00084B72" w:rsidRPr="00621907" w:rsidRDefault="00084B72" w:rsidP="00084B72">
      <w:pPr>
        <w:overflowPunct/>
        <w:adjustRightInd w:val="0"/>
        <w:rPr>
          <w:rFonts w:eastAsia="Times New Roman"/>
          <w:b/>
          <w:color w:val="auto"/>
          <w:sz w:val="22"/>
          <w:szCs w:val="22"/>
        </w:rPr>
      </w:pPr>
      <w:r w:rsidRPr="00621907">
        <w:rPr>
          <w:rFonts w:eastAsia="Times New Roman"/>
          <w:b/>
          <w:color w:val="auto"/>
          <w:sz w:val="22"/>
          <w:szCs w:val="22"/>
        </w:rPr>
        <w:t>30.1.7.GARANTİ BELGESİ VE GARANTİ TAAHHÜTNAMESİ İLE İLGİLİ DİĞER HUSUSLAR</w:t>
      </w:r>
    </w:p>
    <w:p w:rsidR="00084B72" w:rsidRPr="00621907"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69415B" w:rsidRDefault="00084B72" w:rsidP="00BD6373">
      <w:pPr>
        <w:overflowPunct/>
        <w:adjustRightInd w:val="0"/>
        <w:rPr>
          <w:rFonts w:eastAsia="Times New Roman"/>
          <w:b/>
          <w:color w:val="auto"/>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p>
    <w:p w:rsidR="00084B72" w:rsidRPr="00621907" w:rsidRDefault="00084B72" w:rsidP="00BD6373">
      <w:pPr>
        <w:overflowPunct/>
        <w:adjustRightInd w:val="0"/>
        <w:rPr>
          <w:rFonts w:eastAsia="Times New Roman"/>
          <w:sz w:val="22"/>
          <w:szCs w:val="22"/>
        </w:rPr>
      </w:pPr>
      <w:r w:rsidRPr="00621907">
        <w:rPr>
          <w:rFonts w:eastAsia="Times New Roman"/>
          <w:b/>
          <w:color w:val="auto"/>
          <w:sz w:val="22"/>
          <w:szCs w:val="22"/>
        </w:rPr>
        <w:lastRenderedPageBreak/>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69415B" w:rsidRDefault="0069415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BD6373" w:rsidRDefault="00BD6373">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69415B" w:rsidRDefault="0069415B">
      <w:pPr>
        <w:overflowPunct/>
        <w:adjustRightInd w:val="0"/>
        <w:jc w:val="both"/>
        <w:rPr>
          <w:rFonts w:eastAsia="Times New Roman"/>
          <w:b/>
          <w:bCs/>
          <w:color w:val="auto"/>
          <w:sz w:val="22"/>
          <w:szCs w:val="22"/>
        </w:rPr>
      </w:pPr>
    </w:p>
    <w:p w:rsidR="0069415B" w:rsidRDefault="0069415B">
      <w:pPr>
        <w:overflowPunct/>
        <w:adjustRightInd w:val="0"/>
        <w:jc w:val="both"/>
        <w:rPr>
          <w:rFonts w:eastAsia="Times New Roman"/>
          <w:b/>
          <w:bCs/>
          <w:color w:val="auto"/>
          <w:sz w:val="22"/>
          <w:szCs w:val="22"/>
        </w:rPr>
      </w:pPr>
    </w:p>
    <w:p w:rsidR="0069415B" w:rsidRDefault="0069415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lastRenderedPageBreak/>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69415B" w:rsidRDefault="0069415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69415B" w:rsidRDefault="0069415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69415B" w:rsidRDefault="0069415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Banka teminat mektubu ise bankadan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BD6373" w:rsidRDefault="00BD6373">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69415B" w:rsidRDefault="0069415B">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69415B" w:rsidRDefault="0069415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69415B" w:rsidRDefault="0069415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69415B" w:rsidRDefault="0069415B">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69415B" w:rsidRDefault="0069415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69415B" w:rsidRDefault="0069415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lastRenderedPageBreak/>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69415B" w:rsidRDefault="0069415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69415B" w:rsidRDefault="0069415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69415B" w:rsidRDefault="0069415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69415B" w:rsidRDefault="0069415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74198D" w:rsidRPr="00621907" w:rsidRDefault="0074198D">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74198D" w:rsidRPr="00621907" w:rsidRDefault="0074198D">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74198D" w:rsidRPr="00621907" w:rsidRDefault="0074198D" w:rsidP="00933361">
      <w:pPr>
        <w:overflowPunct/>
        <w:autoSpaceDE/>
        <w:rPr>
          <w:rFonts w:eastAsia="Times New Roman"/>
          <w:b/>
          <w:bCs/>
          <w:color w:val="auto"/>
          <w:sz w:val="22"/>
          <w:szCs w:val="22"/>
        </w:rPr>
      </w:pPr>
    </w:p>
    <w:p w:rsidR="0069415B"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r>
    </w:p>
    <w:p w:rsidR="007731F1" w:rsidRPr="00621907" w:rsidRDefault="00933361" w:rsidP="00933361">
      <w:pPr>
        <w:overflowPunct/>
        <w:autoSpaceDE/>
        <w:rPr>
          <w:rFonts w:eastAsia="Times New Roman"/>
          <w:bCs/>
          <w:color w:val="auto"/>
          <w:sz w:val="22"/>
          <w:szCs w:val="22"/>
        </w:rPr>
      </w:pPr>
      <w:r w:rsidRPr="00621907">
        <w:rPr>
          <w:rFonts w:eastAsia="Times New Roman"/>
          <w:bCs/>
          <w:color w:val="auto"/>
          <w:sz w:val="22"/>
          <w:szCs w:val="22"/>
        </w:rPr>
        <w:lastRenderedPageBreak/>
        <w:t>g</w:t>
      </w:r>
      <w:r w:rsidR="007731F1" w:rsidRPr="00621907">
        <w:rPr>
          <w:rFonts w:eastAsia="Times New Roman"/>
          <w:bCs/>
          <w:color w:val="auto"/>
          <w:sz w:val="22"/>
          <w:szCs w:val="22"/>
        </w:rPr>
        <w:t>) İdare ihtiyaç durumuna göre istediği takdirde yüklenici ile idarenin karşılıklı anlaşması kaydıyla başka bir yerde teslimat yaptırabilecektir.</w:t>
      </w:r>
      <w:r w:rsidR="007731F1" w:rsidRPr="00621907">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007731F1"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69415B" w:rsidRPr="00621907" w:rsidRDefault="0069415B">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69415B"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69415B" w:rsidRDefault="0069415B">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69415B" w:rsidRDefault="0069415B">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69415B" w:rsidRDefault="0069415B">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69415B" w:rsidRDefault="0069415B">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Default="0007717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7731F1" w:rsidRPr="00621907" w:rsidRDefault="007731F1">
      <w:pPr>
        <w:overflowPunct/>
        <w:adjustRightInd w:val="0"/>
        <w:rPr>
          <w:rFonts w:eastAsia="Times New Roman"/>
          <w:b/>
          <w:bCs/>
          <w:color w:val="auto"/>
          <w:sz w:val="22"/>
          <w:szCs w:val="22"/>
        </w:rPr>
      </w:pPr>
    </w:p>
    <w:p w:rsidR="003E31B7" w:rsidRDefault="003E31B7">
      <w:pPr>
        <w:overflowPunct/>
        <w:adjustRightInd w:val="0"/>
        <w:rPr>
          <w:rFonts w:eastAsia="Times New Roman"/>
          <w:b/>
          <w:bCs/>
          <w:color w:val="auto"/>
          <w:sz w:val="22"/>
          <w:szCs w:val="22"/>
        </w:rPr>
      </w:pPr>
    </w:p>
    <w:p w:rsidR="0069415B" w:rsidRDefault="0069415B">
      <w:pPr>
        <w:overflowPunct/>
        <w:adjustRightInd w:val="0"/>
        <w:rPr>
          <w:rFonts w:eastAsia="Times New Roman"/>
          <w:b/>
          <w:bCs/>
          <w:color w:val="auto"/>
          <w:sz w:val="22"/>
          <w:szCs w:val="22"/>
        </w:rPr>
      </w:pPr>
    </w:p>
    <w:p w:rsidR="0069415B" w:rsidRDefault="0069415B">
      <w:pPr>
        <w:overflowPunct/>
        <w:adjustRightInd w:val="0"/>
        <w:rPr>
          <w:rFonts w:eastAsia="Times New Roman"/>
          <w:b/>
          <w:bCs/>
          <w:color w:val="auto"/>
          <w:sz w:val="22"/>
          <w:szCs w:val="22"/>
        </w:rPr>
      </w:pPr>
    </w:p>
    <w:p w:rsidR="0069415B" w:rsidRDefault="0069415B">
      <w:pPr>
        <w:overflowPunct/>
        <w:adjustRightInd w:val="0"/>
        <w:rPr>
          <w:rFonts w:eastAsia="Times New Roman"/>
          <w:b/>
          <w:bCs/>
          <w:color w:val="auto"/>
          <w:sz w:val="22"/>
          <w:szCs w:val="22"/>
        </w:rPr>
      </w:pPr>
    </w:p>
    <w:p w:rsidR="0069415B" w:rsidRDefault="0069415B">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Default="002331BD">
      <w:pPr>
        <w:overflowPunct/>
        <w:adjustRightInd w:val="0"/>
        <w:rPr>
          <w:rFonts w:eastAsia="Times New Roman"/>
          <w:color w:val="auto"/>
          <w:sz w:val="22"/>
          <w:szCs w:val="22"/>
        </w:rPr>
      </w:pPr>
    </w:p>
    <w:p w:rsidR="0007717D" w:rsidRPr="00621907" w:rsidRDefault="0007717D">
      <w:pPr>
        <w:overflowPunct/>
        <w:adjustRightInd w:val="0"/>
        <w:rPr>
          <w:rFonts w:eastAsia="Times New Roman"/>
          <w:color w:val="auto"/>
          <w:sz w:val="22"/>
          <w:szCs w:val="22"/>
        </w:rPr>
      </w:pPr>
    </w:p>
    <w:p w:rsidR="0015022C" w:rsidRPr="00621907" w:rsidRDefault="0015022C">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83" w:rsidRDefault="007A1D83">
      <w:r>
        <w:separator/>
      </w:r>
    </w:p>
  </w:endnote>
  <w:endnote w:type="continuationSeparator" w:id="0">
    <w:p w:rsidR="007A1D83" w:rsidRDefault="007A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7A1D83" w:rsidRDefault="007A1D83">
        <w:pPr>
          <w:pStyle w:val="AltBilgi"/>
          <w:jc w:val="center"/>
        </w:pPr>
        <w:r>
          <w:fldChar w:fldCharType="begin"/>
        </w:r>
        <w:r>
          <w:instrText>PAGE   \* MERGEFORMAT</w:instrText>
        </w:r>
        <w:r>
          <w:fldChar w:fldCharType="separate"/>
        </w:r>
        <w:r w:rsidR="0069415B">
          <w:rPr>
            <w:noProof/>
          </w:rPr>
          <w:t>1</w:t>
        </w:r>
        <w:r>
          <w:fldChar w:fldCharType="end"/>
        </w:r>
      </w:p>
    </w:sdtContent>
  </w:sdt>
  <w:p w:rsidR="007A1D83" w:rsidRDefault="007A1D83">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7A1D83" w:rsidRDefault="007A1D83">
        <w:pPr>
          <w:pStyle w:val="AltBilgi"/>
          <w:jc w:val="center"/>
        </w:pPr>
        <w:r>
          <w:rPr>
            <w:noProof/>
          </w:rPr>
          <w:t>0</w:t>
        </w:r>
      </w:p>
    </w:sdtContent>
  </w:sdt>
  <w:p w:rsidR="007A1D83" w:rsidRDefault="007A1D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83" w:rsidRDefault="007A1D83">
      <w:r>
        <w:separator/>
      </w:r>
    </w:p>
  </w:footnote>
  <w:footnote w:type="continuationSeparator" w:id="0">
    <w:p w:rsidR="007A1D83" w:rsidRDefault="007A1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Pr="00C661BA" w:rsidRDefault="007A1D83">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Default="007A1D83">
    <w:pPr>
      <w:pStyle w:val="stBilgi"/>
      <w:jc w:val="right"/>
      <w:rPr>
        <w:rFonts w:ascii="Arial" w:hAnsi="Arial" w:cs="Arial"/>
      </w:rPr>
    </w:pPr>
    <w:r>
      <w:rPr>
        <w:rFonts w:ascii="Arial" w:hAnsi="Arial" w:cs="Arial"/>
      </w:rPr>
      <w:t>EK-D</w:t>
    </w:r>
  </w:p>
  <w:p w:rsidR="007A1D83" w:rsidRDefault="007A1D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3F62"/>
    <w:rsid w:val="00015FC8"/>
    <w:rsid w:val="00032547"/>
    <w:rsid w:val="000537DF"/>
    <w:rsid w:val="000549D2"/>
    <w:rsid w:val="0007329B"/>
    <w:rsid w:val="0007717D"/>
    <w:rsid w:val="00077A27"/>
    <w:rsid w:val="000802B7"/>
    <w:rsid w:val="00084B72"/>
    <w:rsid w:val="00084DF8"/>
    <w:rsid w:val="000A3DDB"/>
    <w:rsid w:val="000B5872"/>
    <w:rsid w:val="000D708E"/>
    <w:rsid w:val="000E2D50"/>
    <w:rsid w:val="001251D4"/>
    <w:rsid w:val="00125FB0"/>
    <w:rsid w:val="001431BF"/>
    <w:rsid w:val="0015022C"/>
    <w:rsid w:val="0016191F"/>
    <w:rsid w:val="001737FC"/>
    <w:rsid w:val="00191FCB"/>
    <w:rsid w:val="001A1818"/>
    <w:rsid w:val="001D1E17"/>
    <w:rsid w:val="001E2462"/>
    <w:rsid w:val="001F521D"/>
    <w:rsid w:val="001F68BB"/>
    <w:rsid w:val="00214A86"/>
    <w:rsid w:val="00230B9F"/>
    <w:rsid w:val="002331BD"/>
    <w:rsid w:val="002356BA"/>
    <w:rsid w:val="0025028A"/>
    <w:rsid w:val="00254776"/>
    <w:rsid w:val="00296149"/>
    <w:rsid w:val="002A0E8D"/>
    <w:rsid w:val="002A44AE"/>
    <w:rsid w:val="002E3858"/>
    <w:rsid w:val="0030193E"/>
    <w:rsid w:val="00304602"/>
    <w:rsid w:val="00305820"/>
    <w:rsid w:val="00323601"/>
    <w:rsid w:val="003755A9"/>
    <w:rsid w:val="003925AC"/>
    <w:rsid w:val="003B2D44"/>
    <w:rsid w:val="003B4A23"/>
    <w:rsid w:val="003D04A0"/>
    <w:rsid w:val="003E31B7"/>
    <w:rsid w:val="003F4306"/>
    <w:rsid w:val="004070EA"/>
    <w:rsid w:val="004140B9"/>
    <w:rsid w:val="00423C5B"/>
    <w:rsid w:val="004535FE"/>
    <w:rsid w:val="00461336"/>
    <w:rsid w:val="00475170"/>
    <w:rsid w:val="00490540"/>
    <w:rsid w:val="00496EB2"/>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D57E3"/>
    <w:rsid w:val="005D60F2"/>
    <w:rsid w:val="005E48EC"/>
    <w:rsid w:val="005F00F6"/>
    <w:rsid w:val="005F3BFD"/>
    <w:rsid w:val="00605AC2"/>
    <w:rsid w:val="00621907"/>
    <w:rsid w:val="00624CED"/>
    <w:rsid w:val="00665532"/>
    <w:rsid w:val="00691940"/>
    <w:rsid w:val="00693B9C"/>
    <w:rsid w:val="0069415B"/>
    <w:rsid w:val="006C69BC"/>
    <w:rsid w:val="006D149A"/>
    <w:rsid w:val="006D1A14"/>
    <w:rsid w:val="006D1BB7"/>
    <w:rsid w:val="006D386E"/>
    <w:rsid w:val="006F1ECA"/>
    <w:rsid w:val="00715C52"/>
    <w:rsid w:val="0074198D"/>
    <w:rsid w:val="007731F1"/>
    <w:rsid w:val="00797E36"/>
    <w:rsid w:val="007A16E1"/>
    <w:rsid w:val="007A1D83"/>
    <w:rsid w:val="007C61AC"/>
    <w:rsid w:val="007D5DC0"/>
    <w:rsid w:val="007E1484"/>
    <w:rsid w:val="007E535A"/>
    <w:rsid w:val="008022E7"/>
    <w:rsid w:val="00804D92"/>
    <w:rsid w:val="0081591C"/>
    <w:rsid w:val="008217D7"/>
    <w:rsid w:val="00823EB1"/>
    <w:rsid w:val="0087638D"/>
    <w:rsid w:val="0088502B"/>
    <w:rsid w:val="008C3C76"/>
    <w:rsid w:val="008D3161"/>
    <w:rsid w:val="008D4917"/>
    <w:rsid w:val="008E0677"/>
    <w:rsid w:val="008E0B32"/>
    <w:rsid w:val="008E4CB4"/>
    <w:rsid w:val="008F31D7"/>
    <w:rsid w:val="008F57CF"/>
    <w:rsid w:val="009008B0"/>
    <w:rsid w:val="00913C2F"/>
    <w:rsid w:val="0092572D"/>
    <w:rsid w:val="00933361"/>
    <w:rsid w:val="00934B70"/>
    <w:rsid w:val="009354FC"/>
    <w:rsid w:val="00953C45"/>
    <w:rsid w:val="009B1CA3"/>
    <w:rsid w:val="009B1CBD"/>
    <w:rsid w:val="009C79DB"/>
    <w:rsid w:val="009D4F25"/>
    <w:rsid w:val="009D624F"/>
    <w:rsid w:val="009E5384"/>
    <w:rsid w:val="009E6D3F"/>
    <w:rsid w:val="009F0F4B"/>
    <w:rsid w:val="00A05B7F"/>
    <w:rsid w:val="00A15883"/>
    <w:rsid w:val="00A168E2"/>
    <w:rsid w:val="00A31F9F"/>
    <w:rsid w:val="00A33E7E"/>
    <w:rsid w:val="00A370F7"/>
    <w:rsid w:val="00A449F1"/>
    <w:rsid w:val="00A6381D"/>
    <w:rsid w:val="00A63F62"/>
    <w:rsid w:val="00A738E5"/>
    <w:rsid w:val="00A77DE2"/>
    <w:rsid w:val="00A96547"/>
    <w:rsid w:val="00AB418F"/>
    <w:rsid w:val="00AD79F3"/>
    <w:rsid w:val="00AE3DB8"/>
    <w:rsid w:val="00AE4ECF"/>
    <w:rsid w:val="00B01123"/>
    <w:rsid w:val="00B0364B"/>
    <w:rsid w:val="00B11449"/>
    <w:rsid w:val="00B229D7"/>
    <w:rsid w:val="00B276DF"/>
    <w:rsid w:val="00B37A14"/>
    <w:rsid w:val="00B458E8"/>
    <w:rsid w:val="00B7500E"/>
    <w:rsid w:val="00B77922"/>
    <w:rsid w:val="00B84D46"/>
    <w:rsid w:val="00B908DE"/>
    <w:rsid w:val="00BA6B99"/>
    <w:rsid w:val="00BB2FD5"/>
    <w:rsid w:val="00BB33B4"/>
    <w:rsid w:val="00BD6373"/>
    <w:rsid w:val="00BE7E00"/>
    <w:rsid w:val="00C12BAB"/>
    <w:rsid w:val="00C34446"/>
    <w:rsid w:val="00C37BAF"/>
    <w:rsid w:val="00C442DB"/>
    <w:rsid w:val="00C661BA"/>
    <w:rsid w:val="00C7433D"/>
    <w:rsid w:val="00C92FB0"/>
    <w:rsid w:val="00CA502B"/>
    <w:rsid w:val="00CC224A"/>
    <w:rsid w:val="00CC3309"/>
    <w:rsid w:val="00CC3C84"/>
    <w:rsid w:val="00CC6F3C"/>
    <w:rsid w:val="00CE004D"/>
    <w:rsid w:val="00CE76A3"/>
    <w:rsid w:val="00D0353E"/>
    <w:rsid w:val="00D11AA0"/>
    <w:rsid w:val="00D1423A"/>
    <w:rsid w:val="00D47AA4"/>
    <w:rsid w:val="00D47F18"/>
    <w:rsid w:val="00D5212B"/>
    <w:rsid w:val="00D533B7"/>
    <w:rsid w:val="00D922FE"/>
    <w:rsid w:val="00D92F99"/>
    <w:rsid w:val="00D962B4"/>
    <w:rsid w:val="00DA0472"/>
    <w:rsid w:val="00DB7DF6"/>
    <w:rsid w:val="00DD3CF6"/>
    <w:rsid w:val="00DD6A51"/>
    <w:rsid w:val="00DF522B"/>
    <w:rsid w:val="00DF5628"/>
    <w:rsid w:val="00E02DE3"/>
    <w:rsid w:val="00E42579"/>
    <w:rsid w:val="00E62F78"/>
    <w:rsid w:val="00E93863"/>
    <w:rsid w:val="00E9657F"/>
    <w:rsid w:val="00EA2332"/>
    <w:rsid w:val="00EB7A29"/>
    <w:rsid w:val="00EC7039"/>
    <w:rsid w:val="00EF5791"/>
    <w:rsid w:val="00EF633B"/>
    <w:rsid w:val="00EF64CF"/>
    <w:rsid w:val="00F00EC9"/>
    <w:rsid w:val="00F05530"/>
    <w:rsid w:val="00F2105B"/>
    <w:rsid w:val="00F64006"/>
    <w:rsid w:val="00F65460"/>
    <w:rsid w:val="00F753E0"/>
    <w:rsid w:val="00F93D2F"/>
    <w:rsid w:val="00F97DF7"/>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C254F"/>
  <w15:docId w15:val="{7DA2DBE4-163C-4AE0-9ACE-273873FA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F929D-3DE3-4E5A-A6B4-B3A1E516A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24</Pages>
  <Words>14416</Words>
  <Characters>82174</Characters>
  <Application>Microsoft Office Word</Application>
  <DocSecurity>0</DocSecurity>
  <Lines>684</Lines>
  <Paragraphs>192</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YİĞİT (GİHSSVL.ME.)(KKK)(E)</cp:lastModifiedBy>
  <cp:revision>37</cp:revision>
  <cp:lastPrinted>2019-05-08T10:42:00Z</cp:lastPrinted>
  <dcterms:created xsi:type="dcterms:W3CDTF">2019-01-04T06:20:00Z</dcterms:created>
  <dcterms:modified xsi:type="dcterms:W3CDTF">2019-07-11T07:11:00Z</dcterms:modified>
</cp:coreProperties>
</file>