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E63C64" w:rsidP="00E63C6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E63C64">
              <w:rPr>
                <w:rFonts w:ascii="Times New Roman" w:hAnsi="Times New Roman" w:cs="Times New Roman"/>
                <w:color w:val="000000" w:themeColor="text1"/>
              </w:rPr>
              <w:t xml:space="preserve">172086 Plakalı,  NNAM0L8LN02000738 Şase numaralı, 2019 Model ISUZU NOVALÜX </w:t>
            </w:r>
            <w:r>
              <w:rPr>
                <w:rFonts w:ascii="Times New Roman" w:hAnsi="Times New Roman" w:cs="Times New Roman"/>
                <w:color w:val="000000" w:themeColor="text1"/>
              </w:rPr>
              <w:t>ARACI BAKIM ONARIMI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2" w:name="_GoBack"/>
            <w:bookmarkEnd w:id="2"/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989"/>
        <w:gridCol w:w="3260"/>
        <w:gridCol w:w="931"/>
        <w:gridCol w:w="961"/>
        <w:gridCol w:w="1019"/>
        <w:gridCol w:w="1024"/>
      </w:tblGrid>
      <w:tr w:rsidR="00894E34" w:rsidRPr="00D345F8" w:rsidTr="007D2A1A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52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43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E63C64">
        <w:trPr>
          <w:trHeight w:val="1693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  <w:vAlign w:val="center"/>
          </w:tcPr>
          <w:p w:rsidR="00894E34" w:rsidRPr="00D345F8" w:rsidRDefault="007D2A1A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A1A">
              <w:rPr>
                <w:rFonts w:ascii="Times New Roman" w:hAnsi="Times New Roman" w:cs="Times New Roman"/>
                <w:color w:val="000000" w:themeColor="text1"/>
              </w:rPr>
              <w:t>172078 Plakalı,   NM0MXXTTRMKP43279 Şas</w:t>
            </w:r>
            <w:r>
              <w:rPr>
                <w:rFonts w:ascii="Times New Roman" w:hAnsi="Times New Roman" w:cs="Times New Roman"/>
                <w:color w:val="000000" w:themeColor="text1"/>
              </w:rPr>
              <w:t>e numaralı, 2020 Model FORD TRAN</w:t>
            </w:r>
            <w:r w:rsidRPr="007D2A1A">
              <w:rPr>
                <w:rFonts w:ascii="Times New Roman" w:hAnsi="Times New Roman" w:cs="Times New Roman"/>
                <w:color w:val="000000" w:themeColor="text1"/>
              </w:rPr>
              <w:t>SİT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6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E63C64" w:rsidRPr="00D345F8" w:rsidTr="00E63C64">
        <w:trPr>
          <w:trHeight w:hRule="exact" w:val="85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E63C64" w:rsidRPr="009D032A" w:rsidRDefault="00E63C64" w:rsidP="000E7FDE">
            <w:proofErr w:type="gramStart"/>
            <w:r w:rsidRPr="009D032A">
              <w:t>FİLİTRE,YAĞ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C64" w:rsidRPr="004D6E5E" w:rsidRDefault="00E63C64" w:rsidP="00F627C9"/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E63C64" w:rsidRPr="00061881" w:rsidRDefault="00E63C64" w:rsidP="00353208">
            <w:r w:rsidRPr="00061881">
              <w:t>1</w:t>
            </w:r>
          </w:p>
        </w:tc>
        <w:tc>
          <w:tcPr>
            <w:tcW w:w="961" w:type="dxa"/>
          </w:tcPr>
          <w:p w:rsidR="00E63C64" w:rsidRPr="005A28E3" w:rsidRDefault="00E63C64" w:rsidP="001B1EA9">
            <w:r w:rsidRPr="005A28E3">
              <w:t>Ad.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C64" w:rsidRPr="00D345F8" w:rsidTr="00E63C64">
        <w:trPr>
          <w:trHeight w:hRule="exact" w:val="255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E63C64" w:rsidRPr="009D032A" w:rsidRDefault="00E63C64" w:rsidP="000E7FDE">
            <w:r w:rsidRPr="009D032A">
              <w:t>FİLTRE YAKIT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C64" w:rsidRPr="004D6E5E" w:rsidRDefault="00E63C64" w:rsidP="00F627C9">
            <w:r w:rsidRPr="00E63C64">
              <w:t xml:space="preserve">172086 Plakalı,  NNAM0L8LN02000738 Şase numaralı, 2019 Model ISUZU NOVALÜX aracına uygun </w:t>
            </w:r>
            <w:proofErr w:type="spellStart"/>
            <w:proofErr w:type="gramStart"/>
            <w:r w:rsidRPr="00E63C64">
              <w:t>olacaktır.Araç</w:t>
            </w:r>
            <w:proofErr w:type="spellEnd"/>
            <w:proofErr w:type="gramEnd"/>
            <w:r w:rsidRPr="00E63C64">
              <w:t xml:space="preserve"> garanti kapsamında olduğundan bakım ve onarım işlemi yetkili servisinde gerçekleşecektir.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4" w:rsidRPr="00061881" w:rsidRDefault="00E63C64" w:rsidP="00353208">
            <w:r w:rsidRPr="00061881"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63C64" w:rsidRPr="005A28E3" w:rsidRDefault="00E63C64" w:rsidP="001B1EA9">
            <w:r w:rsidRPr="005A28E3">
              <w:t>Ad.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C64" w:rsidRPr="00D345F8" w:rsidTr="00E63C64">
        <w:trPr>
          <w:trHeight w:hRule="exact" w:val="711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63C64" w:rsidRDefault="00E6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E63C64" w:rsidRPr="009D032A" w:rsidRDefault="00E63C64" w:rsidP="000E7FDE">
            <w:r w:rsidRPr="009D032A">
              <w:t>‌FİLTRE ELAMANI, HAVA GİRİŞİ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C64" w:rsidRPr="004D6E5E" w:rsidRDefault="00E63C64" w:rsidP="00F627C9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4" w:rsidRPr="00061881" w:rsidRDefault="00E63C64" w:rsidP="00353208">
            <w:r w:rsidRPr="00061881"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63C64" w:rsidRPr="005A28E3" w:rsidRDefault="00E63C64" w:rsidP="001B1EA9">
            <w:r w:rsidRPr="005A28E3">
              <w:t>Ad.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C64" w:rsidRPr="00D345F8" w:rsidTr="00E63C64">
        <w:trPr>
          <w:trHeight w:hRule="exact" w:val="127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E63C64" w:rsidRDefault="00E63C64" w:rsidP="000E7FDE"/>
          <w:p w:rsidR="00E63C64" w:rsidRPr="009D032A" w:rsidRDefault="00E63C64" w:rsidP="000E7FDE">
            <w:r w:rsidRPr="009D032A">
              <w:t>‌YAĞLAMA YAĞI, MOTOR, 5W30, TAM SENTETİK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C64" w:rsidRPr="004D6E5E" w:rsidRDefault="00E63C64" w:rsidP="00F627C9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4" w:rsidRDefault="00E63C64" w:rsidP="00353208"/>
          <w:p w:rsidR="00E63C64" w:rsidRPr="00061881" w:rsidRDefault="00E63C64" w:rsidP="00353208">
            <w:r w:rsidRPr="00061881">
              <w:t>12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63C64" w:rsidRDefault="00E63C64" w:rsidP="001B1EA9"/>
          <w:p w:rsidR="00E63C64" w:rsidRPr="005A28E3" w:rsidRDefault="00E63C64" w:rsidP="001B1EA9">
            <w:r>
              <w:t>Litre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C64" w:rsidRPr="00D345F8" w:rsidTr="00E63C64">
        <w:trPr>
          <w:trHeight w:hRule="exact" w:val="1559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63C64" w:rsidRDefault="00E63C64">
            <w:pPr>
              <w:jc w:val="center"/>
              <w:rPr>
                <w:color w:val="000000"/>
              </w:rPr>
            </w:pPr>
          </w:p>
          <w:p w:rsidR="00E63C64" w:rsidRDefault="00E6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E63C64" w:rsidRDefault="00E63C64" w:rsidP="000E7FDE"/>
          <w:p w:rsidR="00E63C64" w:rsidRDefault="00E63C64" w:rsidP="000E7FDE">
            <w:r w:rsidRPr="009D032A">
              <w:t>İŞÇİLİK ÜCRETİ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C64" w:rsidRPr="004D6E5E" w:rsidRDefault="00E63C64" w:rsidP="00F627C9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4" w:rsidRDefault="00E63C64" w:rsidP="00353208">
            <w:r w:rsidRPr="00061881"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63C64" w:rsidRDefault="00E63C64" w:rsidP="001B1EA9">
            <w:r w:rsidRPr="005A28E3">
              <w:t>Saat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63C64" w:rsidRPr="00D345F8" w:rsidRDefault="00E63C6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E63C64">
        <w:trPr>
          <w:trHeight w:hRule="exact" w:val="41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83" w:rsidRPr="009212DF" w:rsidRDefault="00CB0D83" w:rsidP="00573F99">
            <w:pPr>
              <w:ind w:firstLine="708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CB0D83" w:rsidRPr="00CC7DE8" w:rsidRDefault="00CB0D83" w:rsidP="008933D7"/>
        </w:tc>
        <w:tc>
          <w:tcPr>
            <w:tcW w:w="961" w:type="dxa"/>
          </w:tcPr>
          <w:p w:rsidR="00CB0D83" w:rsidRPr="00CC7DE8" w:rsidRDefault="00CB0D83" w:rsidP="008933D7"/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63C64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16</cp:revision>
  <dcterms:created xsi:type="dcterms:W3CDTF">2021-04-21T07:38:00Z</dcterms:created>
  <dcterms:modified xsi:type="dcterms:W3CDTF">2022-06-16T17:23:00Z</dcterms:modified>
</cp:coreProperties>
</file>