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C42CE3">
        <w:rPr>
          <w:rFonts w:ascii="Times New Roman" w:eastAsia="Times New Roman" w:hAnsi="Times New Roman" w:cs="Times New Roman"/>
          <w:b/>
          <w:bCs/>
          <w:color w:val="003399"/>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500E1F" w:rsidRDefault="00D41B8C" w:rsidP="00500E1F">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500E1F" w:rsidRDefault="00BD04EF" w:rsidP="00500E1F">
      <w:pPr>
        <w:rPr>
          <w:rFonts w:ascii="Times New Roman" w:eastAsia="Times New Roman" w:hAnsi="Times New Roman" w:cs="Times New Roman"/>
          <w:b/>
          <w:bCs/>
          <w:color w:val="003399"/>
          <w:sz w:val="24"/>
          <w:szCs w:val="24"/>
        </w:rPr>
      </w:pPr>
      <w:r>
        <w:rPr>
          <w:rFonts w:ascii="Times New Roman" w:hAnsi="Times New Roman" w:cs="Times New Roman"/>
          <w:sz w:val="24"/>
          <w:szCs w:val="24"/>
          <w:u w:val="single"/>
        </w:rPr>
        <w:t>HAZIRLAYAN</w:t>
      </w:r>
      <w:r w:rsidR="00DA7416" w:rsidRPr="00C42CE3">
        <w:rPr>
          <w:rFonts w:ascii="Times New Roman" w:hAnsi="Times New Roman" w:cs="Times New Roman"/>
          <w:sz w:val="24"/>
          <w:szCs w:val="24"/>
        </w:rPr>
        <w:tab/>
      </w:r>
      <w:r w:rsidR="00C42CE3" w:rsidRPr="00C42CE3">
        <w:rPr>
          <w:rFonts w:ascii="Times New Roman" w:hAnsi="Times New Roman" w:cs="Times New Roman"/>
          <w:sz w:val="24"/>
          <w:szCs w:val="24"/>
        </w:rPr>
        <w:tab/>
      </w:r>
      <w:r w:rsidR="00C42CE3" w:rsidRPr="00C42CE3">
        <w:rPr>
          <w:rFonts w:ascii="Times New Roman" w:hAnsi="Times New Roman" w:cs="Times New Roman"/>
          <w:sz w:val="24"/>
          <w:szCs w:val="24"/>
        </w:rPr>
        <w:tab/>
      </w:r>
      <w:r w:rsidR="0018201F">
        <w:rPr>
          <w:rFonts w:ascii="Times New Roman" w:hAnsi="Times New Roman" w:cs="Times New Roman"/>
          <w:sz w:val="24"/>
          <w:szCs w:val="24"/>
        </w:rPr>
        <w:tab/>
      </w:r>
      <w:r w:rsidR="00251B87">
        <w:rPr>
          <w:rFonts w:ascii="Times New Roman" w:hAnsi="Times New Roman" w:cs="Times New Roman"/>
          <w:sz w:val="24"/>
          <w:szCs w:val="24"/>
        </w:rPr>
        <w:tab/>
      </w:r>
      <w:r w:rsidR="00500E1F">
        <w:rPr>
          <w:rFonts w:ascii="Times New Roman" w:hAnsi="Times New Roman" w:cs="Times New Roman"/>
          <w:sz w:val="24"/>
          <w:szCs w:val="24"/>
        </w:rPr>
        <w:t xml:space="preserve">                    </w:t>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DA7416" w:rsidRPr="00C42CE3" w:rsidRDefault="00500E1F" w:rsidP="00251B87">
      <w:pPr>
        <w:rPr>
          <w:rFonts w:ascii="Times New Roman" w:hAnsi="Times New Roman" w:cs="Times New Roman"/>
          <w:sz w:val="24"/>
          <w:szCs w:val="24"/>
        </w:rPr>
      </w:pPr>
      <w:r>
        <w:rPr>
          <w:rFonts w:ascii="Times New Roman" w:hAnsi="Times New Roman" w:cs="Times New Roman"/>
          <w:sz w:val="24"/>
          <w:szCs w:val="24"/>
        </w:rPr>
        <w:t>Yasemin GEZBİÇ</w:t>
      </w:r>
      <w:r w:rsidR="00B87749">
        <w:rPr>
          <w:rFonts w:ascii="Times New Roman" w:hAnsi="Times New Roman" w:cs="Times New Roman"/>
          <w:sz w:val="24"/>
          <w:szCs w:val="24"/>
        </w:rPr>
        <w:tab/>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4F335B" w:rsidRPr="00C42CE3">
        <w:rPr>
          <w:rFonts w:ascii="Times New Roman" w:hAnsi="Times New Roman" w:cs="Times New Roman"/>
          <w:sz w:val="24"/>
          <w:szCs w:val="24"/>
        </w:rPr>
        <w:tab/>
      </w:r>
      <w:r w:rsidR="00251B87">
        <w:rPr>
          <w:rFonts w:ascii="Times New Roman" w:hAnsi="Times New Roman" w:cs="Times New Roman"/>
          <w:sz w:val="24"/>
          <w:szCs w:val="24"/>
        </w:rPr>
        <w:t xml:space="preserve">          </w:t>
      </w:r>
      <w:r w:rsidR="002E0116">
        <w:rPr>
          <w:rFonts w:ascii="Times New Roman" w:hAnsi="Times New Roman" w:cs="Times New Roman"/>
          <w:sz w:val="24"/>
          <w:szCs w:val="24"/>
        </w:rPr>
        <w:tab/>
      </w:r>
      <w:r w:rsidR="008D3948">
        <w:rPr>
          <w:rFonts w:ascii="Times New Roman" w:hAnsi="Times New Roman" w:cs="Times New Roman"/>
          <w:sz w:val="24"/>
          <w:szCs w:val="24"/>
        </w:rPr>
        <w:t xml:space="preserve">  </w:t>
      </w:r>
      <w:r w:rsidR="002E0116">
        <w:rPr>
          <w:rFonts w:ascii="Times New Roman" w:hAnsi="Times New Roman" w:cs="Times New Roman"/>
          <w:sz w:val="24"/>
          <w:szCs w:val="24"/>
        </w:rPr>
        <w:tab/>
      </w:r>
      <w:r w:rsidR="008D3948">
        <w:rPr>
          <w:rFonts w:ascii="Times New Roman" w:hAnsi="Times New Roman" w:cs="Times New Roman"/>
          <w:sz w:val="24"/>
          <w:szCs w:val="24"/>
        </w:rPr>
        <w:t xml:space="preserve">     </w:t>
      </w:r>
      <w:r>
        <w:rPr>
          <w:rFonts w:ascii="Times New Roman" w:hAnsi="Times New Roman" w:cs="Times New Roman"/>
          <w:sz w:val="24"/>
          <w:szCs w:val="24"/>
        </w:rPr>
        <w:t xml:space="preserve">    Ercüment AVCI</w:t>
      </w:r>
    </w:p>
    <w:p w:rsidR="00500E1F" w:rsidRDefault="00BD1E86" w:rsidP="002E0116">
      <w:pPr>
        <w:rPr>
          <w:rFonts w:ascii="Times New Roman" w:hAnsi="Times New Roman" w:cs="Times New Roman"/>
          <w:sz w:val="24"/>
          <w:szCs w:val="24"/>
        </w:rPr>
      </w:pPr>
      <w:r>
        <w:rPr>
          <w:rFonts w:ascii="Times New Roman" w:hAnsi="Times New Roman" w:cs="Times New Roman"/>
          <w:sz w:val="24"/>
          <w:szCs w:val="24"/>
        </w:rPr>
        <w:t xml:space="preserve"> </w:t>
      </w:r>
      <w:r w:rsidR="008D3948">
        <w:rPr>
          <w:rFonts w:ascii="Times New Roman" w:hAnsi="Times New Roman" w:cs="Times New Roman"/>
          <w:sz w:val="24"/>
          <w:szCs w:val="24"/>
        </w:rPr>
        <w:t xml:space="preserve">De.Me. </w:t>
      </w:r>
      <w:r w:rsidR="0074190A" w:rsidRPr="00C42CE3">
        <w:rPr>
          <w:rFonts w:ascii="Times New Roman" w:hAnsi="Times New Roman" w:cs="Times New Roman"/>
          <w:sz w:val="24"/>
          <w:szCs w:val="24"/>
        </w:rPr>
        <w:tab/>
      </w:r>
      <w:r w:rsidR="00CC7798"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8D3948">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51B87"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18201F">
        <w:rPr>
          <w:rFonts w:ascii="Times New Roman" w:hAnsi="Times New Roman" w:cs="Times New Roman"/>
          <w:sz w:val="24"/>
          <w:szCs w:val="24"/>
        </w:rPr>
        <w:tab/>
      </w:r>
      <w:r w:rsidR="00500E1F">
        <w:rPr>
          <w:rFonts w:ascii="Times New Roman" w:hAnsi="Times New Roman" w:cs="Times New Roman"/>
          <w:sz w:val="24"/>
          <w:szCs w:val="24"/>
        </w:rPr>
        <w:t xml:space="preserve">         </w:t>
      </w:r>
      <w:r w:rsidR="00500E1F" w:rsidRPr="00C42CE3">
        <w:rPr>
          <w:rFonts w:ascii="Times New Roman" w:hAnsi="Times New Roman" w:cs="Times New Roman"/>
          <w:sz w:val="24"/>
          <w:szCs w:val="24"/>
        </w:rPr>
        <w:t xml:space="preserve">Asb.Kd.Bçvş.           </w:t>
      </w:r>
      <w:r w:rsidR="00500E1F">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500E1F">
        <w:rPr>
          <w:rFonts w:ascii="Times New Roman" w:hAnsi="Times New Roman" w:cs="Times New Roman"/>
          <w:sz w:val="24"/>
          <w:szCs w:val="24"/>
        </w:rPr>
        <w:t xml:space="preserve">               </w:t>
      </w:r>
    </w:p>
    <w:p w:rsidR="00DA7416" w:rsidRPr="00C42CE3" w:rsidRDefault="008D3948" w:rsidP="002E0116">
      <w:pPr>
        <w:rPr>
          <w:rFonts w:ascii="Times New Roman" w:hAnsi="Times New Roman" w:cs="Times New Roman"/>
          <w:sz w:val="24"/>
          <w:szCs w:val="24"/>
        </w:rPr>
      </w:pPr>
      <w:r>
        <w:rPr>
          <w:rFonts w:ascii="Times New Roman" w:hAnsi="Times New Roman" w:cs="Times New Roman"/>
          <w:sz w:val="24"/>
          <w:szCs w:val="24"/>
        </w:rPr>
        <w:t>V.H.K.İ.</w:t>
      </w:r>
      <w:r w:rsidR="002E0116"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sidR="00500E1F">
        <w:rPr>
          <w:rFonts w:ascii="Times New Roman" w:hAnsi="Times New Roman" w:cs="Times New Roman"/>
          <w:sz w:val="24"/>
          <w:szCs w:val="24"/>
        </w:rPr>
        <w:t xml:space="preserve">         </w:t>
      </w:r>
      <w:r w:rsidR="00DA7416" w:rsidRPr="00C42CE3">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500E1F">
        <w:rPr>
          <w:rFonts w:ascii="Times New Roman" w:hAnsi="Times New Roman" w:cs="Times New Roman"/>
          <w:sz w:val="24"/>
          <w:szCs w:val="24"/>
        </w:rPr>
        <w:t xml:space="preserve">           Ted.Ks.A.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B82D24">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4615D"/>
    <w:rsid w:val="00251B87"/>
    <w:rsid w:val="002B03EE"/>
    <w:rsid w:val="002E0116"/>
    <w:rsid w:val="00383988"/>
    <w:rsid w:val="004746D6"/>
    <w:rsid w:val="004831F9"/>
    <w:rsid w:val="004F335B"/>
    <w:rsid w:val="00500E1F"/>
    <w:rsid w:val="005140BC"/>
    <w:rsid w:val="006351A2"/>
    <w:rsid w:val="0073437A"/>
    <w:rsid w:val="0074190A"/>
    <w:rsid w:val="007532D0"/>
    <w:rsid w:val="007A5164"/>
    <w:rsid w:val="007B11E6"/>
    <w:rsid w:val="008D3948"/>
    <w:rsid w:val="008D57A1"/>
    <w:rsid w:val="0099476A"/>
    <w:rsid w:val="009C783A"/>
    <w:rsid w:val="00A063DE"/>
    <w:rsid w:val="00B0679D"/>
    <w:rsid w:val="00B82D24"/>
    <w:rsid w:val="00B87749"/>
    <w:rsid w:val="00BD04EF"/>
    <w:rsid w:val="00BD1E86"/>
    <w:rsid w:val="00BE1582"/>
    <w:rsid w:val="00C16E5C"/>
    <w:rsid w:val="00C23EFB"/>
    <w:rsid w:val="00C42CE3"/>
    <w:rsid w:val="00CC4135"/>
    <w:rsid w:val="00CC7798"/>
    <w:rsid w:val="00D41B8C"/>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2019-11-04T07:06:00Z</cp:lastPrinted>
  <dcterms:created xsi:type="dcterms:W3CDTF">2020-07-21T08:58:00Z</dcterms:created>
  <dcterms:modified xsi:type="dcterms:W3CDTF">2020-07-21T08:58:00Z</dcterms:modified>
</cp:coreProperties>
</file>